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D438" w14:textId="2DE0C813" w:rsidR="00493849" w:rsidRPr="00493849" w:rsidRDefault="001675A5" w:rsidP="000E504B">
      <w:pPr>
        <w:spacing w:before="0" w:after="120" w:line="240" w:lineRule="auto"/>
        <w:rPr>
          <w:rFonts w:cs="Arial"/>
          <w:b/>
          <w:sz w:val="24"/>
        </w:rPr>
      </w:pPr>
      <w:r>
        <w:rPr>
          <w:rFonts w:cs="Arial"/>
          <w:b/>
          <w:sz w:val="24"/>
        </w:rPr>
        <w:t>Bewertungsbericht</w:t>
      </w:r>
    </w:p>
    <w:p w14:paraId="031E147D" w14:textId="45D1379E" w:rsidR="002530C2" w:rsidRPr="004356C8" w:rsidRDefault="002530C2" w:rsidP="000E504B">
      <w:pPr>
        <w:spacing w:before="0" w:after="120" w:line="240" w:lineRule="auto"/>
        <w:rPr>
          <w:rFonts w:cs="Arial"/>
          <w:b/>
          <w:szCs w:val="22"/>
        </w:rPr>
      </w:pPr>
      <w:r w:rsidRPr="004356C8">
        <w:rPr>
          <w:rFonts w:cs="Arial"/>
          <w:b/>
          <w:szCs w:val="22"/>
        </w:rPr>
        <w:t>Programmakkreditierung – Einzelverfahren</w:t>
      </w:r>
    </w:p>
    <w:p w14:paraId="4C2B300D" w14:textId="4BA9D084" w:rsidR="005254F2" w:rsidRPr="00D64027" w:rsidRDefault="005254F2" w:rsidP="000E504B">
      <w:pPr>
        <w:spacing w:before="0" w:line="240" w:lineRule="auto"/>
        <w:rPr>
          <w:rFonts w:cs="Arial"/>
          <w:szCs w:val="22"/>
        </w:rPr>
      </w:pPr>
    </w:p>
    <w:p w14:paraId="4CB14400" w14:textId="12BB05CA" w:rsidR="001737CA" w:rsidRPr="005D0998" w:rsidRDefault="005D0998" w:rsidP="000E504B">
      <w:pPr>
        <w:spacing w:before="0" w:line="240" w:lineRule="auto"/>
        <w:rPr>
          <w:rStyle w:val="Hyperlink"/>
          <w:rFonts w:cs="Arial"/>
          <w:szCs w:val="22"/>
        </w:rPr>
      </w:pPr>
      <w:r>
        <w:rPr>
          <w:rFonts w:cs="Arial"/>
          <w:szCs w:val="22"/>
        </w:rPr>
        <w:fldChar w:fldCharType="begin"/>
      </w:r>
      <w:r>
        <w:rPr>
          <w:rFonts w:cs="Arial"/>
          <w:szCs w:val="22"/>
        </w:rPr>
        <w:instrText xml:space="preserve"> HYPERLINK  \l "Inhalt" </w:instrText>
      </w:r>
      <w:r>
        <w:rPr>
          <w:rFonts w:cs="Arial"/>
          <w:szCs w:val="22"/>
        </w:rPr>
      </w:r>
      <w:r>
        <w:rPr>
          <w:rFonts w:cs="Arial"/>
          <w:szCs w:val="22"/>
        </w:rPr>
        <w:fldChar w:fldCharType="separate"/>
      </w:r>
      <w:r w:rsidRPr="005D0998">
        <w:rPr>
          <w:rStyle w:val="Hyperlink"/>
          <w:rFonts w:cs="Arial"/>
          <w:szCs w:val="22"/>
        </w:rPr>
        <w:t xml:space="preserve">► </w:t>
      </w:r>
      <w:r w:rsidR="001737CA" w:rsidRPr="005D0998">
        <w:rPr>
          <w:rStyle w:val="Hyperlink"/>
          <w:rFonts w:cs="Arial"/>
          <w:szCs w:val="22"/>
        </w:rPr>
        <w:t>Inhaltsverzeichnis</w:t>
      </w:r>
    </w:p>
    <w:p w14:paraId="4B51AEFC" w14:textId="0D5774FD" w:rsidR="00A67ABF" w:rsidRDefault="005D0998" w:rsidP="000E504B">
      <w:pPr>
        <w:spacing w:before="0" w:line="240" w:lineRule="auto"/>
        <w:rPr>
          <w:rFonts w:cs="Arial"/>
          <w:szCs w:val="22"/>
        </w:rPr>
      </w:pPr>
      <w:r>
        <w:rPr>
          <w:rFonts w:cs="Arial"/>
          <w:szCs w:val="22"/>
        </w:rPr>
        <w:fldChar w:fldCharType="end"/>
      </w: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24"/>
        <w:gridCol w:w="849"/>
        <w:gridCol w:w="426"/>
        <w:gridCol w:w="850"/>
        <w:gridCol w:w="425"/>
        <w:gridCol w:w="1488"/>
        <w:gridCol w:w="213"/>
        <w:gridCol w:w="851"/>
        <w:gridCol w:w="425"/>
      </w:tblGrid>
      <w:tr w:rsidR="00C97395" w:rsidRPr="00663C63" w14:paraId="0DF15DE5" w14:textId="77777777" w:rsidTr="00A93DAA">
        <w:tc>
          <w:tcPr>
            <w:tcW w:w="3824" w:type="dxa"/>
          </w:tcPr>
          <w:p w14:paraId="43FCDD0C" w14:textId="77777777" w:rsidR="00C97395" w:rsidRPr="00884895" w:rsidRDefault="00C97395" w:rsidP="000E504B">
            <w:pPr>
              <w:spacing w:before="60" w:after="60" w:line="240" w:lineRule="auto"/>
              <w:jc w:val="left"/>
              <w:rPr>
                <w:rFonts w:cs="Arial"/>
                <w:sz w:val="20"/>
                <w:szCs w:val="20"/>
                <w:lang w:eastAsia="en-US"/>
              </w:rPr>
            </w:pPr>
            <w:r w:rsidRPr="00884895">
              <w:rPr>
                <w:rFonts w:cs="Arial"/>
                <w:sz w:val="20"/>
                <w:szCs w:val="20"/>
                <w:lang w:eastAsia="en-US"/>
              </w:rPr>
              <w:t>Hochschule</w:t>
            </w:r>
          </w:p>
        </w:tc>
        <w:tc>
          <w:tcPr>
            <w:tcW w:w="5527" w:type="dxa"/>
            <w:gridSpan w:val="8"/>
          </w:tcPr>
          <w:p w14:paraId="787695B8" w14:textId="77777777" w:rsidR="00182D68" w:rsidRDefault="00782F90" w:rsidP="000E504B">
            <w:pPr>
              <w:spacing w:before="60" w:after="60" w:line="240" w:lineRule="auto"/>
              <w:rPr>
                <w:rFonts w:cs="Arial"/>
                <w:sz w:val="20"/>
                <w:szCs w:val="20"/>
                <w:lang w:val="en-US" w:eastAsia="en-US"/>
              </w:rPr>
            </w:pPr>
            <w:r w:rsidRPr="0071670A">
              <w:rPr>
                <w:rFonts w:cs="Arial"/>
                <w:sz w:val="20"/>
                <w:szCs w:val="20"/>
                <w:lang w:val="en-US" w:eastAsia="en-US"/>
              </w:rPr>
              <w:t xml:space="preserve">MSH Medical School Hamburg – </w:t>
            </w:r>
          </w:p>
          <w:p w14:paraId="56B8E335" w14:textId="0F3B7EA7" w:rsidR="00C97395" w:rsidRPr="0071670A" w:rsidRDefault="00782F90" w:rsidP="000E504B">
            <w:pPr>
              <w:spacing w:before="60" w:after="60" w:line="240" w:lineRule="auto"/>
              <w:rPr>
                <w:rFonts w:cs="Arial"/>
                <w:sz w:val="20"/>
                <w:szCs w:val="20"/>
                <w:lang w:val="en-US" w:eastAsia="en-US"/>
              </w:rPr>
            </w:pPr>
            <w:r w:rsidRPr="0071670A">
              <w:rPr>
                <w:rFonts w:cs="Arial"/>
                <w:sz w:val="20"/>
                <w:szCs w:val="20"/>
                <w:lang w:val="en-US" w:eastAsia="en-US"/>
              </w:rPr>
              <w:t>University of Applied Sciences and Medical University</w:t>
            </w:r>
          </w:p>
        </w:tc>
      </w:tr>
      <w:tr w:rsidR="00B612AD" w:rsidRPr="00884895" w14:paraId="0F6A55F1" w14:textId="77777777" w:rsidTr="00A93DAA">
        <w:tc>
          <w:tcPr>
            <w:tcW w:w="3824" w:type="dxa"/>
          </w:tcPr>
          <w:p w14:paraId="62C59B75" w14:textId="4CD50283" w:rsidR="00B612AD" w:rsidRPr="00884895" w:rsidRDefault="00B612AD" w:rsidP="000E504B">
            <w:pPr>
              <w:spacing w:before="60" w:after="60" w:line="240" w:lineRule="auto"/>
              <w:jc w:val="left"/>
              <w:rPr>
                <w:rFonts w:cs="Arial"/>
                <w:sz w:val="20"/>
                <w:szCs w:val="20"/>
                <w:lang w:eastAsia="en-US"/>
              </w:rPr>
            </w:pPr>
            <w:bookmarkStart w:id="0" w:name="_Hlk148956474"/>
            <w:r w:rsidRPr="00884895">
              <w:rPr>
                <w:rFonts w:cs="Arial"/>
                <w:sz w:val="20"/>
                <w:szCs w:val="20"/>
                <w:lang w:eastAsia="en-US"/>
              </w:rPr>
              <w:t>Studiengang</w:t>
            </w:r>
          </w:p>
        </w:tc>
        <w:tc>
          <w:tcPr>
            <w:tcW w:w="5527" w:type="dxa"/>
            <w:gridSpan w:val="8"/>
          </w:tcPr>
          <w:p w14:paraId="51E9BFA7" w14:textId="129FCD89" w:rsidR="00B612AD" w:rsidRPr="00884895" w:rsidRDefault="00782F90" w:rsidP="000E504B">
            <w:pPr>
              <w:spacing w:before="60" w:after="60" w:line="240" w:lineRule="auto"/>
              <w:rPr>
                <w:rFonts w:cs="Arial"/>
                <w:sz w:val="20"/>
                <w:szCs w:val="20"/>
                <w:lang w:eastAsia="en-US"/>
              </w:rPr>
            </w:pPr>
            <w:r w:rsidRPr="00782F90">
              <w:rPr>
                <w:rFonts w:cs="Arial"/>
                <w:sz w:val="20"/>
                <w:szCs w:val="20"/>
                <w:lang w:eastAsia="en-US"/>
              </w:rPr>
              <w:t>„Psychologie mit Schwerpunkt Klinische Psychologie und Psychotherapie”</w:t>
            </w:r>
          </w:p>
        </w:tc>
      </w:tr>
      <w:bookmarkEnd w:id="0"/>
      <w:tr w:rsidR="00B612AD" w:rsidRPr="00663C63" w14:paraId="0F792F19" w14:textId="77777777" w:rsidTr="00A93DAA">
        <w:tc>
          <w:tcPr>
            <w:tcW w:w="3824" w:type="dxa"/>
          </w:tcPr>
          <w:p w14:paraId="7D6FC415" w14:textId="1DB1C312" w:rsidR="00B612AD" w:rsidRPr="00884895" w:rsidRDefault="00B612AD" w:rsidP="000E504B">
            <w:pPr>
              <w:spacing w:before="60" w:after="60" w:line="240" w:lineRule="auto"/>
              <w:jc w:val="left"/>
              <w:rPr>
                <w:rFonts w:cs="Arial"/>
                <w:sz w:val="20"/>
                <w:szCs w:val="20"/>
                <w:lang w:eastAsia="en-US"/>
              </w:rPr>
            </w:pPr>
            <w:r w:rsidRPr="00884895">
              <w:rPr>
                <w:rFonts w:cs="Arial"/>
                <w:sz w:val="20"/>
                <w:szCs w:val="20"/>
                <w:lang w:eastAsia="en-US"/>
              </w:rPr>
              <w:t>Abschlussbezeichnung</w:t>
            </w:r>
          </w:p>
        </w:tc>
        <w:tc>
          <w:tcPr>
            <w:tcW w:w="5527" w:type="dxa"/>
            <w:gridSpan w:val="8"/>
          </w:tcPr>
          <w:p w14:paraId="43C2490C" w14:textId="076892F2" w:rsidR="00B612AD" w:rsidRPr="0071670A" w:rsidRDefault="00782F90" w:rsidP="000E504B">
            <w:pPr>
              <w:spacing w:before="60" w:after="60" w:line="240" w:lineRule="auto"/>
              <w:rPr>
                <w:rFonts w:cs="Arial"/>
                <w:sz w:val="20"/>
                <w:szCs w:val="20"/>
                <w:lang w:val="en-US" w:eastAsia="en-US"/>
              </w:rPr>
            </w:pPr>
            <w:r w:rsidRPr="0071670A">
              <w:rPr>
                <w:rFonts w:cs="Arial"/>
                <w:sz w:val="20"/>
                <w:szCs w:val="20"/>
                <w:lang w:val="en-US" w:eastAsia="en-US"/>
              </w:rPr>
              <w:t>Master of Science, M.Sc.</w:t>
            </w:r>
          </w:p>
        </w:tc>
      </w:tr>
      <w:tr w:rsidR="00B612AD" w:rsidRPr="00A67ABF" w14:paraId="77B75965" w14:textId="77777777" w:rsidTr="00D2241F">
        <w:tc>
          <w:tcPr>
            <w:tcW w:w="3824" w:type="dxa"/>
            <w:vMerge w:val="restart"/>
          </w:tcPr>
          <w:p w14:paraId="40FD941C" w14:textId="1F8397E3" w:rsidR="00B612AD" w:rsidRPr="00A67ABF" w:rsidRDefault="00B612AD" w:rsidP="000E504B">
            <w:pPr>
              <w:spacing w:before="60" w:after="60" w:line="240" w:lineRule="auto"/>
              <w:jc w:val="left"/>
              <w:rPr>
                <w:rFonts w:cs="Arial"/>
                <w:sz w:val="20"/>
                <w:szCs w:val="20"/>
                <w:lang w:eastAsia="en-US"/>
              </w:rPr>
            </w:pPr>
            <w:r w:rsidRPr="00A67ABF">
              <w:rPr>
                <w:rFonts w:cs="Arial"/>
                <w:sz w:val="20"/>
                <w:szCs w:val="20"/>
                <w:lang w:eastAsia="en-US"/>
              </w:rPr>
              <w:t>Studienform</w:t>
            </w:r>
          </w:p>
        </w:tc>
        <w:tc>
          <w:tcPr>
            <w:tcW w:w="2125" w:type="dxa"/>
            <w:gridSpan w:val="3"/>
            <w:tcBorders>
              <w:bottom w:val="single" w:sz="4" w:space="0" w:color="BFBFBF" w:themeColor="background1" w:themeShade="BF"/>
              <w:right w:val="nil"/>
            </w:tcBorders>
          </w:tcPr>
          <w:p w14:paraId="5B27C06D" w14:textId="2865FE76" w:rsidR="00B612AD" w:rsidRPr="00A67ABF" w:rsidRDefault="00B612AD" w:rsidP="000E504B">
            <w:pPr>
              <w:spacing w:before="60" w:after="60" w:line="240" w:lineRule="auto"/>
              <w:rPr>
                <w:rFonts w:cs="Arial"/>
                <w:sz w:val="20"/>
                <w:szCs w:val="20"/>
                <w:lang w:eastAsia="en-US"/>
              </w:rPr>
            </w:pPr>
            <w:r w:rsidRPr="00A67ABF">
              <w:rPr>
                <w:rFonts w:cs="Arial"/>
                <w:sz w:val="20"/>
                <w:szCs w:val="20"/>
                <w:lang w:eastAsia="en-US"/>
              </w:rPr>
              <w:t>Präsenz</w:t>
            </w:r>
          </w:p>
        </w:tc>
        <w:tc>
          <w:tcPr>
            <w:tcW w:w="425" w:type="dxa"/>
            <w:tcBorders>
              <w:left w:val="nil"/>
            </w:tcBorders>
          </w:tcPr>
          <w:sdt>
            <w:sdtPr>
              <w:rPr>
                <w:rFonts w:cs="Arial"/>
                <w:sz w:val="20"/>
                <w:szCs w:val="20"/>
                <w:lang w:eastAsia="en-US"/>
              </w:rPr>
              <w:id w:val="1398869836"/>
              <w14:checkbox>
                <w14:checked w14:val="1"/>
                <w14:checkedState w14:val="2612" w14:font="MS Gothic"/>
                <w14:uncheckedState w14:val="2610" w14:font="MS Gothic"/>
              </w14:checkbox>
            </w:sdtPr>
            <w:sdtEndPr/>
            <w:sdtContent>
              <w:p w14:paraId="1F0DEFAA" w14:textId="35D58F95" w:rsidR="00B612AD" w:rsidRPr="00A67ABF" w:rsidRDefault="00782F90" w:rsidP="000E504B">
                <w:pPr>
                  <w:spacing w:before="60" w:after="60" w:line="240" w:lineRule="auto"/>
                  <w:rPr>
                    <w:rFonts w:cs="Arial"/>
                    <w:sz w:val="20"/>
                    <w:szCs w:val="20"/>
                    <w:lang w:eastAsia="en-US"/>
                  </w:rPr>
                </w:pPr>
                <w:r>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74B00CF8" w14:textId="7247323D" w:rsidR="00B612AD" w:rsidRPr="00A67ABF" w:rsidRDefault="00B612AD" w:rsidP="000E504B">
            <w:pPr>
              <w:spacing w:before="60" w:after="60" w:line="240" w:lineRule="auto"/>
              <w:rPr>
                <w:rFonts w:cs="Arial"/>
                <w:sz w:val="20"/>
                <w:szCs w:val="20"/>
                <w:lang w:eastAsia="en-US"/>
              </w:rPr>
            </w:pPr>
            <w:r w:rsidRPr="00A67ABF">
              <w:rPr>
                <w:rFonts w:cs="Arial"/>
                <w:sz w:val="20"/>
                <w:szCs w:val="20"/>
                <w:lang w:eastAsia="en-US"/>
              </w:rPr>
              <w:t>Fernstudium</w:t>
            </w:r>
          </w:p>
        </w:tc>
        <w:tc>
          <w:tcPr>
            <w:tcW w:w="425" w:type="dxa"/>
            <w:tcBorders>
              <w:left w:val="nil"/>
            </w:tcBorders>
          </w:tcPr>
          <w:sdt>
            <w:sdtPr>
              <w:rPr>
                <w:rFonts w:cs="Arial"/>
                <w:sz w:val="20"/>
                <w:szCs w:val="20"/>
                <w:lang w:eastAsia="en-US"/>
              </w:rPr>
              <w:id w:val="919220961"/>
              <w14:checkbox>
                <w14:checked w14:val="0"/>
                <w14:checkedState w14:val="2612" w14:font="MS Gothic"/>
                <w14:uncheckedState w14:val="2610" w14:font="MS Gothic"/>
              </w14:checkbox>
            </w:sdtPr>
            <w:sdtEndPr/>
            <w:sdtContent>
              <w:p w14:paraId="20EE797C" w14:textId="3CA835B1" w:rsidR="00B612AD" w:rsidRPr="00A67ABF" w:rsidRDefault="00B612AD" w:rsidP="000E504B">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B612AD" w:rsidRPr="00A67ABF" w14:paraId="50E31A08" w14:textId="77777777" w:rsidTr="00D2241F">
        <w:tc>
          <w:tcPr>
            <w:tcW w:w="3824" w:type="dxa"/>
            <w:vMerge/>
          </w:tcPr>
          <w:p w14:paraId="776EF3EF" w14:textId="77777777" w:rsidR="00B612AD" w:rsidRPr="00A67ABF" w:rsidRDefault="00B612AD" w:rsidP="000E504B">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769117B9" w14:textId="6BDFABF0" w:rsidR="00B612AD" w:rsidRPr="00A67ABF" w:rsidRDefault="00B612AD" w:rsidP="000E504B">
            <w:pPr>
              <w:spacing w:before="60" w:after="60" w:line="240" w:lineRule="auto"/>
              <w:rPr>
                <w:rFonts w:cs="Arial"/>
                <w:sz w:val="20"/>
                <w:szCs w:val="20"/>
                <w:lang w:eastAsia="en-US"/>
              </w:rPr>
            </w:pPr>
            <w:r w:rsidRPr="00A67ABF">
              <w:rPr>
                <w:rFonts w:cs="Arial"/>
                <w:sz w:val="20"/>
                <w:szCs w:val="20"/>
                <w:lang w:eastAsia="en-US"/>
              </w:rPr>
              <w:t>Vollzeit</w:t>
            </w:r>
          </w:p>
        </w:tc>
        <w:tc>
          <w:tcPr>
            <w:tcW w:w="425" w:type="dxa"/>
            <w:tcBorders>
              <w:left w:val="nil"/>
            </w:tcBorders>
          </w:tcPr>
          <w:sdt>
            <w:sdtPr>
              <w:rPr>
                <w:rFonts w:cs="Arial"/>
                <w:sz w:val="20"/>
                <w:szCs w:val="20"/>
                <w:lang w:eastAsia="en-US"/>
              </w:rPr>
              <w:id w:val="628357500"/>
              <w14:checkbox>
                <w14:checked w14:val="1"/>
                <w14:checkedState w14:val="2612" w14:font="MS Gothic"/>
                <w14:uncheckedState w14:val="2610" w14:font="MS Gothic"/>
              </w14:checkbox>
            </w:sdtPr>
            <w:sdtEndPr/>
            <w:sdtContent>
              <w:p w14:paraId="374816CF" w14:textId="5123CD8A" w:rsidR="00B612AD" w:rsidRPr="00A67ABF" w:rsidRDefault="00782F90" w:rsidP="000E504B">
                <w:pPr>
                  <w:spacing w:before="60" w:after="60" w:line="240" w:lineRule="auto"/>
                  <w:rPr>
                    <w:rFonts w:cs="Arial"/>
                    <w:sz w:val="20"/>
                    <w:szCs w:val="20"/>
                    <w:lang w:eastAsia="en-US"/>
                  </w:rPr>
                </w:pPr>
                <w:r>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639FCDC0" w14:textId="73092C7B" w:rsidR="00B612AD" w:rsidRPr="00A67ABF" w:rsidRDefault="00B612AD" w:rsidP="000E504B">
            <w:pPr>
              <w:spacing w:before="60" w:after="60" w:line="240" w:lineRule="auto"/>
              <w:rPr>
                <w:rFonts w:cs="Arial"/>
                <w:sz w:val="20"/>
                <w:szCs w:val="20"/>
                <w:lang w:eastAsia="en-US"/>
              </w:rPr>
            </w:pPr>
            <w:r w:rsidRPr="00A67ABF">
              <w:rPr>
                <w:rFonts w:cs="Arial"/>
                <w:sz w:val="20"/>
                <w:szCs w:val="20"/>
                <w:lang w:eastAsia="en-US"/>
              </w:rPr>
              <w:t>Intensiv</w:t>
            </w:r>
          </w:p>
        </w:tc>
        <w:tc>
          <w:tcPr>
            <w:tcW w:w="425" w:type="dxa"/>
            <w:tcBorders>
              <w:left w:val="nil"/>
            </w:tcBorders>
          </w:tcPr>
          <w:sdt>
            <w:sdtPr>
              <w:rPr>
                <w:rFonts w:cs="Arial"/>
                <w:sz w:val="20"/>
                <w:szCs w:val="20"/>
                <w:lang w:eastAsia="en-US"/>
              </w:rPr>
              <w:id w:val="-1011133951"/>
              <w14:checkbox>
                <w14:checked w14:val="0"/>
                <w14:checkedState w14:val="2612" w14:font="MS Gothic"/>
                <w14:uncheckedState w14:val="2610" w14:font="MS Gothic"/>
              </w14:checkbox>
            </w:sdtPr>
            <w:sdtEndPr/>
            <w:sdtContent>
              <w:p w14:paraId="04A534B1" w14:textId="29221741" w:rsidR="00B612AD" w:rsidRPr="00A67ABF" w:rsidRDefault="00B612AD" w:rsidP="000E504B">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B612AD" w:rsidRPr="00A67ABF" w14:paraId="42DF6088" w14:textId="77777777" w:rsidTr="00D2241F">
        <w:tc>
          <w:tcPr>
            <w:tcW w:w="3824" w:type="dxa"/>
            <w:vMerge/>
          </w:tcPr>
          <w:p w14:paraId="70FAB04D" w14:textId="77777777" w:rsidR="00B612AD" w:rsidRPr="00A67ABF" w:rsidRDefault="00B612AD" w:rsidP="000E504B">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5C4A6AF7" w14:textId="7ED4036E" w:rsidR="00B612AD" w:rsidRPr="00A67ABF" w:rsidRDefault="00B612AD" w:rsidP="000E504B">
            <w:pPr>
              <w:spacing w:before="60" w:after="60" w:line="240" w:lineRule="auto"/>
              <w:rPr>
                <w:rFonts w:cs="Arial"/>
                <w:sz w:val="20"/>
                <w:szCs w:val="20"/>
                <w:lang w:eastAsia="en-US"/>
              </w:rPr>
            </w:pPr>
            <w:r w:rsidRPr="00A67ABF">
              <w:rPr>
                <w:rFonts w:cs="Arial"/>
                <w:sz w:val="20"/>
                <w:szCs w:val="20"/>
                <w:lang w:eastAsia="en-US"/>
              </w:rPr>
              <w:t>Teilzeit</w:t>
            </w:r>
          </w:p>
        </w:tc>
        <w:tc>
          <w:tcPr>
            <w:tcW w:w="425" w:type="dxa"/>
            <w:tcBorders>
              <w:left w:val="nil"/>
            </w:tcBorders>
          </w:tcPr>
          <w:sdt>
            <w:sdtPr>
              <w:rPr>
                <w:rFonts w:cs="Arial"/>
                <w:sz w:val="20"/>
                <w:szCs w:val="20"/>
                <w:lang w:eastAsia="en-US"/>
              </w:rPr>
              <w:id w:val="748552668"/>
              <w14:checkbox>
                <w14:checked w14:val="0"/>
                <w14:checkedState w14:val="2612" w14:font="MS Gothic"/>
                <w14:uncheckedState w14:val="2610" w14:font="MS Gothic"/>
              </w14:checkbox>
            </w:sdtPr>
            <w:sdtEndPr/>
            <w:sdtContent>
              <w:p w14:paraId="2DF65C46" w14:textId="47C071D3" w:rsidR="00B612AD" w:rsidRPr="00A67ABF" w:rsidRDefault="00B612AD" w:rsidP="000E504B">
                <w:pPr>
                  <w:spacing w:before="60" w:after="60" w:line="240" w:lineRule="auto"/>
                  <w:rPr>
                    <w:rFonts w:cs="Arial"/>
                    <w:sz w:val="20"/>
                    <w:szCs w:val="20"/>
                    <w:lang w:eastAsia="en-US"/>
                  </w:rPr>
                </w:pPr>
                <w:r>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5F3EBB66" w14:textId="4EC66319" w:rsidR="00B612AD" w:rsidRPr="00A67ABF" w:rsidRDefault="00B612AD" w:rsidP="000E504B">
            <w:pPr>
              <w:spacing w:before="60" w:after="60" w:line="240" w:lineRule="auto"/>
              <w:rPr>
                <w:rFonts w:cs="Arial"/>
                <w:sz w:val="20"/>
                <w:szCs w:val="20"/>
                <w:lang w:eastAsia="en-US"/>
              </w:rPr>
            </w:pPr>
            <w:r w:rsidRPr="00A67ABF">
              <w:rPr>
                <w:rFonts w:cs="Arial"/>
                <w:sz w:val="20"/>
                <w:szCs w:val="20"/>
                <w:lang w:eastAsia="en-US"/>
              </w:rPr>
              <w:t>Joint Degree</w:t>
            </w:r>
          </w:p>
        </w:tc>
        <w:tc>
          <w:tcPr>
            <w:tcW w:w="425" w:type="dxa"/>
            <w:tcBorders>
              <w:left w:val="nil"/>
            </w:tcBorders>
          </w:tcPr>
          <w:sdt>
            <w:sdtPr>
              <w:rPr>
                <w:rFonts w:cs="Arial"/>
                <w:sz w:val="20"/>
                <w:szCs w:val="20"/>
                <w:lang w:eastAsia="en-US"/>
              </w:rPr>
              <w:id w:val="-1731003040"/>
              <w14:checkbox>
                <w14:checked w14:val="0"/>
                <w14:checkedState w14:val="2612" w14:font="MS Gothic"/>
                <w14:uncheckedState w14:val="2610" w14:font="MS Gothic"/>
              </w14:checkbox>
            </w:sdtPr>
            <w:sdtEndPr/>
            <w:sdtContent>
              <w:p w14:paraId="04A82D52" w14:textId="68268FBB" w:rsidR="00B612AD" w:rsidRPr="00A67ABF" w:rsidRDefault="00B612AD" w:rsidP="000E504B">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B612AD" w:rsidRPr="00A67ABF" w14:paraId="78560EA1" w14:textId="77777777" w:rsidTr="00D2241F">
        <w:tc>
          <w:tcPr>
            <w:tcW w:w="3824" w:type="dxa"/>
            <w:vMerge/>
          </w:tcPr>
          <w:p w14:paraId="3B71D336" w14:textId="77777777" w:rsidR="00B612AD" w:rsidRPr="00A67ABF" w:rsidRDefault="00B612AD" w:rsidP="000E504B">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18C0A246" w14:textId="7027318F" w:rsidR="00B612AD" w:rsidRPr="00A67ABF" w:rsidRDefault="00B612AD" w:rsidP="000E504B">
            <w:pPr>
              <w:spacing w:before="60" w:after="60" w:line="240" w:lineRule="auto"/>
              <w:rPr>
                <w:rFonts w:cs="Arial"/>
                <w:sz w:val="20"/>
                <w:szCs w:val="20"/>
                <w:lang w:eastAsia="en-US"/>
              </w:rPr>
            </w:pPr>
            <w:r w:rsidRPr="00A67ABF">
              <w:rPr>
                <w:rFonts w:cs="Arial"/>
                <w:sz w:val="20"/>
                <w:szCs w:val="20"/>
                <w:lang w:eastAsia="en-US"/>
              </w:rPr>
              <w:t>Dual</w:t>
            </w:r>
          </w:p>
        </w:tc>
        <w:tc>
          <w:tcPr>
            <w:tcW w:w="425" w:type="dxa"/>
            <w:tcBorders>
              <w:left w:val="nil"/>
            </w:tcBorders>
          </w:tcPr>
          <w:sdt>
            <w:sdtPr>
              <w:rPr>
                <w:rFonts w:cs="Arial"/>
                <w:sz w:val="20"/>
                <w:szCs w:val="20"/>
                <w:lang w:eastAsia="en-US"/>
              </w:rPr>
              <w:id w:val="899407570"/>
              <w14:checkbox>
                <w14:checked w14:val="0"/>
                <w14:checkedState w14:val="2612" w14:font="MS Gothic"/>
                <w14:uncheckedState w14:val="2610" w14:font="MS Gothic"/>
              </w14:checkbox>
            </w:sdtPr>
            <w:sdtEndPr/>
            <w:sdtContent>
              <w:p w14:paraId="311E213C" w14:textId="2D3800CC" w:rsidR="00B612AD" w:rsidRPr="00A67ABF" w:rsidRDefault="00B612AD" w:rsidP="000E504B">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right w:val="nil"/>
            </w:tcBorders>
          </w:tcPr>
          <w:p w14:paraId="6BEDD169" w14:textId="17EE4073" w:rsidR="00B612AD" w:rsidRPr="00A67ABF" w:rsidRDefault="00B612AD" w:rsidP="000E504B">
            <w:pPr>
              <w:spacing w:before="60" w:after="60" w:line="240" w:lineRule="auto"/>
              <w:rPr>
                <w:rFonts w:cs="Arial"/>
                <w:sz w:val="20"/>
                <w:szCs w:val="20"/>
                <w:lang w:eastAsia="en-US"/>
              </w:rPr>
            </w:pPr>
            <w:r w:rsidRPr="00A67ABF">
              <w:rPr>
                <w:rFonts w:cs="Arial"/>
                <w:sz w:val="20"/>
                <w:szCs w:val="20"/>
                <w:lang w:eastAsia="en-US"/>
              </w:rPr>
              <w:t>Kooperation § 19 MRVO</w:t>
            </w:r>
          </w:p>
        </w:tc>
        <w:tc>
          <w:tcPr>
            <w:tcW w:w="425" w:type="dxa"/>
            <w:tcBorders>
              <w:left w:val="nil"/>
            </w:tcBorders>
          </w:tcPr>
          <w:sdt>
            <w:sdtPr>
              <w:rPr>
                <w:rFonts w:cs="Arial"/>
                <w:sz w:val="20"/>
                <w:szCs w:val="20"/>
                <w:lang w:eastAsia="en-US"/>
              </w:rPr>
              <w:id w:val="216247545"/>
              <w14:checkbox>
                <w14:checked w14:val="0"/>
                <w14:checkedState w14:val="2612" w14:font="MS Gothic"/>
                <w14:uncheckedState w14:val="2610" w14:font="MS Gothic"/>
              </w14:checkbox>
            </w:sdtPr>
            <w:sdtEndPr/>
            <w:sdtContent>
              <w:p w14:paraId="1D87A873" w14:textId="76A94FF1" w:rsidR="00B612AD" w:rsidRPr="00A67ABF" w:rsidRDefault="00B612AD" w:rsidP="000E504B">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B612AD" w:rsidRPr="00A67ABF" w14:paraId="3EF7EBDA" w14:textId="77777777" w:rsidTr="00D2241F">
        <w:tc>
          <w:tcPr>
            <w:tcW w:w="3824" w:type="dxa"/>
            <w:vMerge/>
          </w:tcPr>
          <w:p w14:paraId="12B90483" w14:textId="77777777" w:rsidR="00B612AD" w:rsidRPr="00A67ABF" w:rsidRDefault="00B612AD" w:rsidP="000E504B">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5EEED859" w14:textId="19F82018" w:rsidR="00B612AD" w:rsidRPr="00A67ABF" w:rsidRDefault="00B612AD" w:rsidP="000E504B">
            <w:pPr>
              <w:spacing w:before="60" w:after="60" w:line="240" w:lineRule="auto"/>
              <w:rPr>
                <w:rFonts w:cs="Arial"/>
                <w:sz w:val="20"/>
                <w:szCs w:val="20"/>
                <w:lang w:eastAsia="en-US"/>
              </w:rPr>
            </w:pPr>
            <w:r w:rsidRPr="00A67ABF">
              <w:rPr>
                <w:rFonts w:cs="Arial"/>
                <w:sz w:val="20"/>
                <w:szCs w:val="20"/>
                <w:lang w:eastAsia="en-US"/>
              </w:rPr>
              <w:t>Berufs- bzw. ausbildungsbegleitend</w:t>
            </w:r>
          </w:p>
        </w:tc>
        <w:tc>
          <w:tcPr>
            <w:tcW w:w="425" w:type="dxa"/>
            <w:tcBorders>
              <w:left w:val="nil"/>
              <w:bottom w:val="single" w:sz="4" w:space="0" w:color="BFBFBF" w:themeColor="background1" w:themeShade="BF"/>
            </w:tcBorders>
          </w:tcPr>
          <w:sdt>
            <w:sdtPr>
              <w:rPr>
                <w:rFonts w:cs="Arial"/>
                <w:sz w:val="20"/>
                <w:szCs w:val="20"/>
                <w:lang w:eastAsia="en-US"/>
              </w:rPr>
              <w:id w:val="2099047966"/>
              <w14:checkbox>
                <w14:checked w14:val="0"/>
                <w14:checkedState w14:val="2612" w14:font="MS Gothic"/>
                <w14:uncheckedState w14:val="2610" w14:font="MS Gothic"/>
              </w14:checkbox>
            </w:sdtPr>
            <w:sdtEndPr/>
            <w:sdtContent>
              <w:p w14:paraId="0BEEC878" w14:textId="7BA56BF1" w:rsidR="00B612AD" w:rsidRPr="00A67ABF" w:rsidRDefault="00B612AD" w:rsidP="000E504B">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right w:val="nil"/>
            </w:tcBorders>
          </w:tcPr>
          <w:p w14:paraId="628D59EA" w14:textId="6051EF94" w:rsidR="00B612AD" w:rsidRPr="00A67ABF" w:rsidRDefault="00B612AD" w:rsidP="000E504B">
            <w:pPr>
              <w:spacing w:before="60" w:after="60" w:line="240" w:lineRule="auto"/>
              <w:rPr>
                <w:rFonts w:cs="Arial"/>
                <w:sz w:val="20"/>
                <w:szCs w:val="20"/>
                <w:lang w:eastAsia="en-US"/>
              </w:rPr>
            </w:pPr>
            <w:r w:rsidRPr="00A67ABF">
              <w:rPr>
                <w:rFonts w:cs="Arial"/>
                <w:sz w:val="20"/>
                <w:szCs w:val="20"/>
                <w:lang w:eastAsia="en-US"/>
              </w:rPr>
              <w:t>Kooperation § 20 MRVO</w:t>
            </w:r>
          </w:p>
        </w:tc>
        <w:tc>
          <w:tcPr>
            <w:tcW w:w="425" w:type="dxa"/>
            <w:tcBorders>
              <w:left w:val="nil"/>
            </w:tcBorders>
          </w:tcPr>
          <w:sdt>
            <w:sdtPr>
              <w:rPr>
                <w:rFonts w:cs="Arial"/>
                <w:sz w:val="20"/>
                <w:szCs w:val="20"/>
                <w:lang w:eastAsia="en-US"/>
              </w:rPr>
              <w:id w:val="-1057464694"/>
              <w14:checkbox>
                <w14:checked w14:val="0"/>
                <w14:checkedState w14:val="2612" w14:font="MS Gothic"/>
                <w14:uncheckedState w14:val="2610" w14:font="MS Gothic"/>
              </w14:checkbox>
            </w:sdtPr>
            <w:sdtEndPr/>
            <w:sdtContent>
              <w:p w14:paraId="63BF5A4B" w14:textId="5F97649F" w:rsidR="00B612AD" w:rsidRPr="00A67ABF" w:rsidRDefault="00B612AD" w:rsidP="000E504B">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B612AD" w:rsidRPr="007135F9" w14:paraId="752AFF7B" w14:textId="77777777" w:rsidTr="00A902A6">
        <w:trPr>
          <w:trHeight w:val="279"/>
        </w:trPr>
        <w:tc>
          <w:tcPr>
            <w:tcW w:w="3824" w:type="dxa"/>
            <w:vAlign w:val="center"/>
          </w:tcPr>
          <w:p w14:paraId="30B1FE6E" w14:textId="5A4ED34A" w:rsidR="00B612AD" w:rsidRPr="007135F9" w:rsidRDefault="00B612AD" w:rsidP="000E504B">
            <w:pPr>
              <w:spacing w:before="60" w:after="60" w:line="240" w:lineRule="auto"/>
              <w:jc w:val="left"/>
              <w:rPr>
                <w:rFonts w:cs="Arial"/>
                <w:color w:val="000000" w:themeColor="text1"/>
                <w:sz w:val="20"/>
                <w:szCs w:val="20"/>
                <w:lang w:eastAsia="en-US"/>
              </w:rPr>
            </w:pPr>
            <w:r w:rsidRPr="007135F9">
              <w:rPr>
                <w:rFonts w:cs="Arial"/>
                <w:color w:val="000000" w:themeColor="text1"/>
                <w:sz w:val="20"/>
                <w:szCs w:val="20"/>
                <w:lang w:eastAsia="en-US"/>
              </w:rPr>
              <w:t>Studiendauer (in Semestern)</w:t>
            </w:r>
          </w:p>
        </w:tc>
        <w:tc>
          <w:tcPr>
            <w:tcW w:w="5527" w:type="dxa"/>
            <w:gridSpan w:val="8"/>
            <w:vAlign w:val="center"/>
          </w:tcPr>
          <w:p w14:paraId="377A9821" w14:textId="363B5A4F" w:rsidR="00B612AD" w:rsidRPr="007135F9" w:rsidRDefault="00782F90" w:rsidP="000E504B">
            <w:pPr>
              <w:spacing w:before="60" w:after="60" w:line="240" w:lineRule="auto"/>
              <w:rPr>
                <w:rFonts w:cs="Arial"/>
                <w:color w:val="000000" w:themeColor="text1"/>
                <w:sz w:val="20"/>
                <w:szCs w:val="20"/>
                <w:lang w:eastAsia="en-US"/>
              </w:rPr>
            </w:pPr>
            <w:r>
              <w:rPr>
                <w:rFonts w:cs="Arial"/>
                <w:color w:val="000000" w:themeColor="text1"/>
                <w:sz w:val="20"/>
                <w:szCs w:val="20"/>
                <w:lang w:eastAsia="en-US"/>
              </w:rPr>
              <w:t>vier</w:t>
            </w:r>
          </w:p>
        </w:tc>
      </w:tr>
      <w:tr w:rsidR="00B612AD" w:rsidRPr="00884895" w14:paraId="1373C2FC" w14:textId="77777777" w:rsidTr="00A93DAA">
        <w:tc>
          <w:tcPr>
            <w:tcW w:w="3824" w:type="dxa"/>
          </w:tcPr>
          <w:p w14:paraId="0D97F531" w14:textId="77777777" w:rsidR="00B612AD" w:rsidRPr="00884895" w:rsidRDefault="00B612AD" w:rsidP="000E504B">
            <w:pPr>
              <w:spacing w:before="60" w:after="60" w:line="240" w:lineRule="auto"/>
              <w:jc w:val="left"/>
              <w:rPr>
                <w:rFonts w:cs="Arial"/>
                <w:sz w:val="20"/>
                <w:szCs w:val="20"/>
                <w:lang w:eastAsia="en-US"/>
              </w:rPr>
            </w:pPr>
            <w:r w:rsidRPr="00884895">
              <w:rPr>
                <w:rFonts w:cs="Arial"/>
                <w:sz w:val="20"/>
                <w:szCs w:val="20"/>
                <w:lang w:eastAsia="en-US"/>
              </w:rPr>
              <w:t>Anzahl der vergebenen ECTS-Punkte</w:t>
            </w:r>
          </w:p>
        </w:tc>
        <w:tc>
          <w:tcPr>
            <w:tcW w:w="5527" w:type="dxa"/>
            <w:gridSpan w:val="8"/>
          </w:tcPr>
          <w:p w14:paraId="19A614AC" w14:textId="24457E28" w:rsidR="00B612AD" w:rsidRPr="00884895" w:rsidRDefault="00782F90" w:rsidP="000E504B">
            <w:pPr>
              <w:spacing w:before="60" w:after="60" w:line="240" w:lineRule="auto"/>
              <w:rPr>
                <w:rFonts w:cs="Arial"/>
                <w:sz w:val="20"/>
                <w:szCs w:val="20"/>
                <w:lang w:eastAsia="en-US"/>
              </w:rPr>
            </w:pPr>
            <w:r>
              <w:rPr>
                <w:rFonts w:cs="Arial"/>
                <w:sz w:val="20"/>
                <w:szCs w:val="20"/>
                <w:lang w:eastAsia="en-US"/>
              </w:rPr>
              <w:t>120</w:t>
            </w:r>
          </w:p>
        </w:tc>
      </w:tr>
      <w:tr w:rsidR="00B612AD" w:rsidRPr="00884895" w14:paraId="1A931EFE" w14:textId="77777777" w:rsidTr="00BC54D6">
        <w:tc>
          <w:tcPr>
            <w:tcW w:w="3824" w:type="dxa"/>
          </w:tcPr>
          <w:p w14:paraId="5B0BEF5F" w14:textId="131FEA1A" w:rsidR="00B612AD" w:rsidRPr="00884895" w:rsidRDefault="00B612AD" w:rsidP="000E504B">
            <w:pPr>
              <w:spacing w:before="60" w:after="60" w:line="240" w:lineRule="auto"/>
              <w:jc w:val="left"/>
              <w:rPr>
                <w:rFonts w:cs="Arial"/>
                <w:sz w:val="20"/>
                <w:szCs w:val="20"/>
                <w:lang w:eastAsia="en-US"/>
              </w:rPr>
            </w:pPr>
            <w:r w:rsidRPr="00884895">
              <w:rPr>
                <w:rFonts w:cs="Arial"/>
                <w:sz w:val="20"/>
                <w:szCs w:val="20"/>
                <w:lang w:eastAsia="en-US"/>
              </w:rPr>
              <w:t>Bei Master</w:t>
            </w:r>
            <w:r>
              <w:rPr>
                <w:rFonts w:cs="Arial"/>
                <w:sz w:val="20"/>
                <w:szCs w:val="20"/>
                <w:lang w:eastAsia="en-US"/>
              </w:rPr>
              <w:t>programmen</w:t>
            </w:r>
            <w:r w:rsidRPr="00884895">
              <w:rPr>
                <w:rFonts w:cs="Arial"/>
                <w:sz w:val="20"/>
                <w:szCs w:val="20"/>
                <w:lang w:eastAsia="en-US"/>
              </w:rPr>
              <w:t>:</w:t>
            </w:r>
          </w:p>
        </w:tc>
        <w:tc>
          <w:tcPr>
            <w:tcW w:w="1275" w:type="dxa"/>
            <w:gridSpan w:val="2"/>
            <w:tcBorders>
              <w:right w:val="nil"/>
            </w:tcBorders>
          </w:tcPr>
          <w:p w14:paraId="7270FDAB" w14:textId="30E22561" w:rsidR="00B612AD" w:rsidRPr="00884895" w:rsidRDefault="00B612AD" w:rsidP="000E504B">
            <w:pPr>
              <w:spacing w:before="60" w:after="60" w:line="240" w:lineRule="auto"/>
              <w:rPr>
                <w:rFonts w:cs="Arial"/>
                <w:sz w:val="20"/>
                <w:szCs w:val="20"/>
                <w:lang w:eastAsia="en-US"/>
              </w:rPr>
            </w:pPr>
            <w:r>
              <w:rPr>
                <w:rFonts w:cs="Arial"/>
                <w:sz w:val="20"/>
                <w:szCs w:val="20"/>
                <w:lang w:eastAsia="en-US"/>
              </w:rPr>
              <w:t>konsekutiv</w:t>
            </w:r>
          </w:p>
        </w:tc>
        <w:tc>
          <w:tcPr>
            <w:tcW w:w="1275" w:type="dxa"/>
            <w:gridSpan w:val="2"/>
            <w:tcBorders>
              <w:left w:val="nil"/>
            </w:tcBorders>
          </w:tcPr>
          <w:p w14:paraId="0B2678E8" w14:textId="7091F6B9" w:rsidR="00B612AD" w:rsidRPr="00884895" w:rsidRDefault="00663C63" w:rsidP="000E504B">
            <w:pPr>
              <w:spacing w:before="60" w:after="60" w:line="240" w:lineRule="auto"/>
              <w:jc w:val="right"/>
              <w:rPr>
                <w:rFonts w:cs="Arial"/>
                <w:sz w:val="20"/>
                <w:szCs w:val="20"/>
                <w:lang w:eastAsia="en-US"/>
              </w:rPr>
            </w:pPr>
            <w:sdt>
              <w:sdtPr>
                <w:rPr>
                  <w:rFonts w:cs="Arial"/>
                  <w:sz w:val="20"/>
                  <w:szCs w:val="20"/>
                  <w:lang w:eastAsia="en-US"/>
                </w:rPr>
                <w:id w:val="2102521344"/>
                <w14:checkbox>
                  <w14:checked w14:val="1"/>
                  <w14:checkedState w14:val="2612" w14:font="MS Gothic"/>
                  <w14:uncheckedState w14:val="2610" w14:font="MS Gothic"/>
                </w14:checkbox>
              </w:sdtPr>
              <w:sdtEndPr/>
              <w:sdtContent>
                <w:r w:rsidR="00D86795">
                  <w:rPr>
                    <w:rFonts w:ascii="MS Gothic" w:eastAsia="MS Gothic" w:hAnsi="MS Gothic" w:cs="Arial" w:hint="eastAsia"/>
                    <w:sz w:val="20"/>
                    <w:szCs w:val="20"/>
                    <w:lang w:eastAsia="en-US"/>
                  </w:rPr>
                  <w:t>☒</w:t>
                </w:r>
              </w:sdtContent>
            </w:sdt>
          </w:p>
        </w:tc>
        <w:tc>
          <w:tcPr>
            <w:tcW w:w="1488" w:type="dxa"/>
            <w:tcBorders>
              <w:right w:val="nil"/>
            </w:tcBorders>
          </w:tcPr>
          <w:p w14:paraId="186B561A" w14:textId="100622C2" w:rsidR="00B612AD" w:rsidRPr="00884895" w:rsidRDefault="00B612AD" w:rsidP="000E504B">
            <w:pPr>
              <w:spacing w:before="60" w:after="60" w:line="240" w:lineRule="auto"/>
              <w:rPr>
                <w:rFonts w:cs="Arial"/>
                <w:sz w:val="20"/>
                <w:szCs w:val="20"/>
                <w:lang w:eastAsia="en-US"/>
              </w:rPr>
            </w:pPr>
            <w:r>
              <w:rPr>
                <w:rFonts w:cs="Arial"/>
                <w:sz w:val="20"/>
                <w:szCs w:val="20"/>
                <w:lang w:eastAsia="en-US"/>
              </w:rPr>
              <w:t>weiterbildend</w:t>
            </w:r>
            <w:r w:rsidRPr="00A67ABF">
              <w:rPr>
                <w:rFonts w:cs="Arial"/>
                <w:sz w:val="20"/>
                <w:szCs w:val="20"/>
                <w:lang w:eastAsia="en-US"/>
              </w:rPr>
              <w:t xml:space="preserve"> </w:t>
            </w:r>
          </w:p>
        </w:tc>
        <w:tc>
          <w:tcPr>
            <w:tcW w:w="1489" w:type="dxa"/>
            <w:gridSpan w:val="3"/>
            <w:tcBorders>
              <w:left w:val="nil"/>
            </w:tcBorders>
          </w:tcPr>
          <w:p w14:paraId="73EB07B2" w14:textId="7A125E7B" w:rsidR="00B612AD" w:rsidRPr="00884895" w:rsidRDefault="00663C63" w:rsidP="000E504B">
            <w:pPr>
              <w:spacing w:before="60" w:after="60" w:line="240" w:lineRule="auto"/>
              <w:jc w:val="right"/>
              <w:rPr>
                <w:rFonts w:cs="Arial"/>
                <w:sz w:val="20"/>
                <w:szCs w:val="20"/>
                <w:lang w:eastAsia="en-US"/>
              </w:rPr>
            </w:pPr>
            <w:sdt>
              <w:sdtPr>
                <w:rPr>
                  <w:rFonts w:cs="Arial"/>
                  <w:sz w:val="20"/>
                  <w:szCs w:val="20"/>
                  <w:lang w:eastAsia="en-US"/>
                </w:rPr>
                <w:id w:val="-2105252283"/>
                <w14:checkbox>
                  <w14:checked w14:val="0"/>
                  <w14:checkedState w14:val="2612" w14:font="MS Gothic"/>
                  <w14:uncheckedState w14:val="2610" w14:font="MS Gothic"/>
                </w14:checkbox>
              </w:sdtPr>
              <w:sdtEndPr/>
              <w:sdtContent>
                <w:r w:rsidR="00EA1714">
                  <w:rPr>
                    <w:rFonts w:ascii="MS Gothic" w:eastAsia="MS Gothic" w:hAnsi="MS Gothic" w:cs="Arial" w:hint="eastAsia"/>
                    <w:sz w:val="20"/>
                    <w:szCs w:val="20"/>
                    <w:lang w:eastAsia="en-US"/>
                  </w:rPr>
                  <w:t>☐</w:t>
                </w:r>
              </w:sdtContent>
            </w:sdt>
          </w:p>
        </w:tc>
      </w:tr>
      <w:tr w:rsidR="00B612AD" w:rsidRPr="00884895" w14:paraId="79FB2981" w14:textId="77777777" w:rsidTr="00A93DAA">
        <w:tc>
          <w:tcPr>
            <w:tcW w:w="3824" w:type="dxa"/>
          </w:tcPr>
          <w:p w14:paraId="1918BC56" w14:textId="05020FD1" w:rsidR="00B612AD" w:rsidRPr="00884895" w:rsidRDefault="00B612AD" w:rsidP="000E504B">
            <w:pPr>
              <w:spacing w:before="60" w:after="60" w:line="240" w:lineRule="auto"/>
              <w:jc w:val="left"/>
              <w:rPr>
                <w:rFonts w:cs="Arial"/>
                <w:sz w:val="20"/>
                <w:szCs w:val="20"/>
                <w:lang w:eastAsia="en-US"/>
              </w:rPr>
            </w:pPr>
            <w:r w:rsidRPr="00884895">
              <w:rPr>
                <w:rFonts w:cs="Arial"/>
                <w:sz w:val="20"/>
                <w:szCs w:val="20"/>
                <w:lang w:eastAsia="en-US"/>
              </w:rPr>
              <w:t xml:space="preserve">Aufnahme des Studienbetriebs </w:t>
            </w:r>
            <w:r>
              <w:rPr>
                <w:rFonts w:cs="Arial"/>
                <w:sz w:val="20"/>
                <w:szCs w:val="20"/>
                <w:lang w:eastAsia="en-US"/>
              </w:rPr>
              <w:t>am</w:t>
            </w:r>
          </w:p>
        </w:tc>
        <w:tc>
          <w:tcPr>
            <w:tcW w:w="5527" w:type="dxa"/>
            <w:gridSpan w:val="8"/>
          </w:tcPr>
          <w:p w14:paraId="64FDDC59" w14:textId="314249CD" w:rsidR="00B612AD" w:rsidRPr="00C4092C" w:rsidRDefault="00782F90" w:rsidP="00782F90">
            <w:pPr>
              <w:pStyle w:val="Default"/>
              <w:jc w:val="both"/>
              <w:rPr>
                <w:sz w:val="20"/>
                <w:szCs w:val="20"/>
              </w:rPr>
            </w:pPr>
            <w:r w:rsidRPr="00C4092C">
              <w:rPr>
                <w:sz w:val="20"/>
                <w:szCs w:val="20"/>
              </w:rPr>
              <w:t>01.10.2011</w:t>
            </w:r>
          </w:p>
        </w:tc>
      </w:tr>
      <w:tr w:rsidR="00B612AD" w:rsidRPr="00884895" w14:paraId="1601C24E" w14:textId="77777777" w:rsidTr="005D0998">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93C7F6" w14:textId="777F551B" w:rsidR="00B612AD" w:rsidRPr="00884895" w:rsidRDefault="00B612AD" w:rsidP="00E562EB">
            <w:pPr>
              <w:spacing w:before="60" w:after="60" w:line="240" w:lineRule="auto"/>
              <w:jc w:val="left"/>
              <w:rPr>
                <w:rFonts w:cs="Arial"/>
                <w:sz w:val="20"/>
                <w:szCs w:val="20"/>
                <w:lang w:eastAsia="en-US"/>
              </w:rPr>
            </w:pPr>
            <w:r w:rsidRPr="00267434">
              <w:rPr>
                <w:rFonts w:cs="Arial"/>
                <w:sz w:val="20"/>
                <w:szCs w:val="20"/>
                <w:lang w:eastAsia="en-US"/>
              </w:rPr>
              <w:t>Aufnahmekapazität</w:t>
            </w:r>
            <w:r w:rsidR="000C45E2">
              <w:rPr>
                <w:rFonts w:cs="Arial"/>
                <w:sz w:val="20"/>
                <w:szCs w:val="20"/>
                <w:lang w:eastAsia="en-US"/>
              </w:rPr>
              <w:t xml:space="preserve"> Wintersemester </w:t>
            </w:r>
            <w:r w:rsidR="00E562EB">
              <w:rPr>
                <w:rFonts w:cs="Arial"/>
                <w:sz w:val="20"/>
                <w:szCs w:val="20"/>
                <w:lang w:eastAsia="en-US"/>
              </w:rPr>
              <w:t xml:space="preserve">ab </w:t>
            </w:r>
            <w:r w:rsidR="000C45E2">
              <w:rPr>
                <w:rFonts w:cs="Arial"/>
                <w:sz w:val="20"/>
                <w:szCs w:val="20"/>
                <w:lang w:eastAsia="en-US"/>
              </w:rPr>
              <w:t>2023 /2024</w:t>
            </w:r>
            <w:r w:rsidR="00E562EB">
              <w:rPr>
                <w:rFonts w:cs="Arial"/>
                <w:sz w:val="20"/>
                <w:szCs w:val="20"/>
                <w:lang w:eastAsia="en-US"/>
              </w:rPr>
              <w:t xml:space="preserve"> </w:t>
            </w:r>
            <w:r w:rsidRPr="00267434">
              <w:rPr>
                <w:rFonts w:cs="Arial"/>
                <w:sz w:val="20"/>
                <w:szCs w:val="20"/>
                <w:lang w:eastAsia="en-US"/>
              </w:rPr>
              <w:t>(</w:t>
            </w:r>
            <w:r w:rsidR="00E562EB">
              <w:rPr>
                <w:rFonts w:cs="Arial"/>
                <w:sz w:val="20"/>
                <w:szCs w:val="20"/>
                <w:lang w:eastAsia="en-US"/>
              </w:rPr>
              <w:t>nach Bedarf</w:t>
            </w:r>
            <w:r w:rsidRPr="00267434">
              <w:rPr>
                <w:rFonts w:cs="Arial"/>
                <w:sz w:val="20"/>
                <w:szCs w:val="20"/>
                <w:lang w:eastAsia="en-US"/>
              </w:rPr>
              <w:t>)</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E53E31" w14:textId="27BF76A2" w:rsidR="00B612AD" w:rsidRPr="00884895" w:rsidRDefault="00782F90" w:rsidP="000E504B">
            <w:pPr>
              <w:spacing w:before="60" w:after="60" w:line="240" w:lineRule="auto"/>
              <w:rPr>
                <w:rFonts w:cs="Arial"/>
                <w:sz w:val="20"/>
                <w:szCs w:val="20"/>
                <w:lang w:eastAsia="en-US"/>
              </w:rPr>
            </w:pPr>
            <w:r>
              <w:rPr>
                <w:rFonts w:cs="Arial"/>
                <w:sz w:val="20"/>
                <w:szCs w:val="20"/>
                <w:lang w:eastAsia="en-US"/>
              </w:rPr>
              <w:t>35</w:t>
            </w: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D8FA701" w14:textId="13880178" w:rsidR="00B612AD" w:rsidRPr="00884895" w:rsidRDefault="00B612AD" w:rsidP="000E504B">
            <w:pPr>
              <w:spacing w:before="60" w:after="60" w:line="240" w:lineRule="auto"/>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1280258555"/>
                <w14:checkbox>
                  <w14:checked w14:val="1"/>
                  <w14:checkedState w14:val="2612" w14:font="MS Gothic"/>
                  <w14:uncheckedState w14:val="2610" w14:font="MS Gothic"/>
                </w14:checkbox>
              </w:sdtPr>
              <w:sdtEndPr/>
              <w:sdtContent>
                <w:r w:rsidR="00782F90">
                  <w:rPr>
                    <w:rFonts w:ascii="MS Gothic" w:eastAsia="MS Gothic" w:hAnsi="MS Gothic" w:cs="Arial" w:hint="eastAsia"/>
                    <w:sz w:val="20"/>
                    <w:szCs w:val="20"/>
                    <w:lang w:eastAsia="en-US"/>
                  </w:rPr>
                  <w:t>☒</w:t>
                </w:r>
              </w:sdtContent>
            </w:sdt>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796AEC8C" w14:textId="25E2D516" w:rsidR="00B612AD" w:rsidRPr="00884895" w:rsidRDefault="00B612AD" w:rsidP="000E504B">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298381047"/>
                <w14:checkbox>
                  <w14:checked w14:val="0"/>
                  <w14:checkedState w14:val="2612" w14:font="MS Gothic"/>
                  <w14:uncheckedState w14:val="2610" w14:font="MS Gothic"/>
                </w14:checkbox>
              </w:sdtPr>
              <w:sdtEndPr/>
              <w:sdtContent>
                <w:r w:rsidR="00EA1714">
                  <w:rPr>
                    <w:rFonts w:ascii="MS Gothic" w:eastAsia="MS Gothic" w:hAnsi="MS Gothic" w:cs="Arial" w:hint="eastAsia"/>
                    <w:sz w:val="20"/>
                    <w:szCs w:val="20"/>
                    <w:lang w:eastAsia="en-US"/>
                  </w:rPr>
                  <w:t>☐</w:t>
                </w:r>
              </w:sdtContent>
            </w:sdt>
          </w:p>
        </w:tc>
      </w:tr>
      <w:tr w:rsidR="00B612AD" w:rsidRPr="00A67ABF" w14:paraId="1A67B739" w14:textId="77777777" w:rsidTr="005D0998">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87DF29" w14:textId="20909B7D" w:rsidR="00B612AD" w:rsidRPr="00A67ABF" w:rsidRDefault="00B612AD" w:rsidP="000E504B">
            <w:pPr>
              <w:spacing w:before="60" w:after="60" w:line="240" w:lineRule="auto"/>
              <w:jc w:val="left"/>
              <w:rPr>
                <w:rFonts w:cs="Arial"/>
                <w:sz w:val="20"/>
                <w:szCs w:val="20"/>
                <w:lang w:eastAsia="en-US"/>
              </w:rPr>
            </w:pPr>
            <w:r>
              <w:rPr>
                <w:rFonts w:cs="Arial"/>
                <w:sz w:val="20"/>
                <w:szCs w:val="20"/>
                <w:lang w:eastAsia="en-US"/>
              </w:rPr>
              <w:t xml:space="preserve">Durchschnittliche </w:t>
            </w:r>
            <w:r w:rsidRPr="00A67ABF">
              <w:rPr>
                <w:rFonts w:cs="Arial"/>
                <w:sz w:val="20"/>
                <w:szCs w:val="20"/>
                <w:lang w:eastAsia="en-US"/>
              </w:rPr>
              <w:t>Anzahl</w:t>
            </w:r>
            <w:r>
              <w:rPr>
                <w:rFonts w:cs="Arial"/>
                <w:sz w:val="20"/>
                <w:szCs w:val="20"/>
                <w:lang w:eastAsia="en-US"/>
              </w:rPr>
              <w:t>*</w:t>
            </w:r>
            <w:r w:rsidRPr="00A67ABF">
              <w:rPr>
                <w:rFonts w:cs="Arial"/>
                <w:sz w:val="20"/>
                <w:szCs w:val="20"/>
                <w:lang w:eastAsia="en-US"/>
              </w:rPr>
              <w:t xml:space="preserve"> der Studienanfängerinnen und</w:t>
            </w:r>
            <w:r>
              <w:rPr>
                <w:rFonts w:cs="Arial"/>
                <w:sz w:val="20"/>
                <w:szCs w:val="20"/>
                <w:lang w:eastAsia="en-US"/>
              </w:rPr>
              <w:t xml:space="preserve"> </w:t>
            </w:r>
            <w:r w:rsidRPr="00A67ABF">
              <w:rPr>
                <w:rFonts w:cs="Arial"/>
                <w:sz w:val="20"/>
                <w:szCs w:val="20"/>
                <w:lang w:eastAsia="en-US"/>
              </w:rPr>
              <w:t>Studienanfänger</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1E5C8D" w14:textId="16A32722" w:rsidR="00B612AD" w:rsidRPr="00A67ABF" w:rsidRDefault="00782F90" w:rsidP="000E504B">
            <w:pPr>
              <w:spacing w:before="60" w:after="60" w:line="240" w:lineRule="auto"/>
              <w:rPr>
                <w:rFonts w:cs="Arial"/>
                <w:sz w:val="20"/>
                <w:szCs w:val="20"/>
                <w:lang w:eastAsia="en-US"/>
              </w:rPr>
            </w:pPr>
            <w:r>
              <w:rPr>
                <w:rFonts w:cs="Arial"/>
                <w:sz w:val="20"/>
                <w:szCs w:val="20"/>
                <w:lang w:eastAsia="en-US"/>
              </w:rPr>
              <w:t>138</w:t>
            </w: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3EC99E8" w14:textId="68875862" w:rsidR="00B612AD" w:rsidRPr="00A67ABF" w:rsidRDefault="00B612AD" w:rsidP="000E504B">
            <w:pPr>
              <w:spacing w:before="60" w:after="60" w:line="240" w:lineRule="auto"/>
              <w:jc w:val="left"/>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1512671528"/>
                <w14:checkbox>
                  <w14:checked w14:val="1"/>
                  <w14:checkedState w14:val="2612" w14:font="MS Gothic"/>
                  <w14:uncheckedState w14:val="2610" w14:font="MS Gothic"/>
                </w14:checkbox>
              </w:sdtPr>
              <w:sdtEndPr/>
              <w:sdtContent>
                <w:r w:rsidR="00782F90">
                  <w:rPr>
                    <w:rFonts w:ascii="MS Gothic" w:eastAsia="MS Gothic" w:hAnsi="MS Gothic" w:cs="Arial" w:hint="eastAsia"/>
                    <w:sz w:val="20"/>
                    <w:szCs w:val="20"/>
                    <w:lang w:eastAsia="en-US"/>
                  </w:rPr>
                  <w:t>☒</w:t>
                </w:r>
              </w:sdtContent>
            </w:sdt>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38903E8" w14:textId="552EDED4" w:rsidR="00B612AD" w:rsidRPr="00A67ABF" w:rsidRDefault="00B612AD" w:rsidP="000E504B">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1562896143"/>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tc>
      </w:tr>
      <w:tr w:rsidR="00B612AD" w:rsidRPr="00A67ABF" w14:paraId="7899C2E1" w14:textId="77777777" w:rsidTr="005D0998">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ECB451" w14:textId="5D264778" w:rsidR="00B612AD" w:rsidRPr="00A67ABF" w:rsidRDefault="00B612AD" w:rsidP="000E504B">
            <w:pPr>
              <w:spacing w:before="60" w:after="60" w:line="240" w:lineRule="auto"/>
              <w:jc w:val="left"/>
              <w:rPr>
                <w:rFonts w:cs="Arial"/>
                <w:sz w:val="20"/>
                <w:szCs w:val="20"/>
                <w:lang w:eastAsia="en-US"/>
              </w:rPr>
            </w:pPr>
            <w:r>
              <w:rPr>
                <w:rFonts w:cs="Arial"/>
                <w:sz w:val="20"/>
                <w:szCs w:val="20"/>
                <w:lang w:eastAsia="en-US"/>
              </w:rPr>
              <w:t xml:space="preserve">Durchschnittliche </w:t>
            </w:r>
            <w:r w:rsidRPr="00A67ABF">
              <w:rPr>
                <w:rFonts w:cs="Arial"/>
                <w:sz w:val="20"/>
                <w:szCs w:val="20"/>
                <w:lang w:eastAsia="en-US"/>
              </w:rPr>
              <w:t>Anzahl</w:t>
            </w:r>
            <w:r>
              <w:rPr>
                <w:rFonts w:cs="Arial"/>
                <w:sz w:val="20"/>
                <w:szCs w:val="20"/>
                <w:lang w:eastAsia="en-US"/>
              </w:rPr>
              <w:t>*</w:t>
            </w:r>
            <w:r w:rsidRPr="00A67ABF">
              <w:rPr>
                <w:rFonts w:cs="Arial"/>
                <w:sz w:val="20"/>
                <w:szCs w:val="20"/>
                <w:lang w:eastAsia="en-US"/>
              </w:rPr>
              <w:t xml:space="preserve"> der Absolventinnen</w:t>
            </w:r>
            <w:r>
              <w:rPr>
                <w:rFonts w:cs="Arial"/>
                <w:sz w:val="20"/>
                <w:szCs w:val="20"/>
                <w:lang w:eastAsia="en-US"/>
              </w:rPr>
              <w:t xml:space="preserve"> und </w:t>
            </w:r>
            <w:r w:rsidRPr="00A67ABF">
              <w:rPr>
                <w:rFonts w:cs="Arial"/>
                <w:sz w:val="20"/>
                <w:szCs w:val="20"/>
                <w:lang w:eastAsia="en-US"/>
              </w:rPr>
              <w:t>Absolventen</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67FFE6" w14:textId="6681462C" w:rsidR="00B612AD" w:rsidRPr="00A67ABF" w:rsidRDefault="00782F90" w:rsidP="000E504B">
            <w:pPr>
              <w:spacing w:before="60" w:after="60" w:line="240" w:lineRule="auto"/>
              <w:rPr>
                <w:rFonts w:cs="Arial"/>
                <w:sz w:val="20"/>
                <w:szCs w:val="20"/>
                <w:lang w:eastAsia="en-US"/>
              </w:rPr>
            </w:pPr>
            <w:r>
              <w:rPr>
                <w:rFonts w:cs="Arial"/>
                <w:sz w:val="20"/>
                <w:szCs w:val="20"/>
                <w:lang w:eastAsia="en-US"/>
              </w:rPr>
              <w:t>207</w:t>
            </w: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DB0E088" w14:textId="77777777" w:rsidR="00B612AD" w:rsidRPr="00A67ABF" w:rsidRDefault="00B612AD" w:rsidP="000E504B">
            <w:pPr>
              <w:spacing w:before="60" w:after="60" w:line="240" w:lineRule="auto"/>
              <w:jc w:val="left"/>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896855998"/>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p w14:paraId="142296BA" w14:textId="5F1C9B9A" w:rsidR="00B612AD" w:rsidRPr="00A67ABF" w:rsidRDefault="00B612AD" w:rsidP="000E504B">
            <w:pPr>
              <w:spacing w:before="60" w:after="60" w:line="240" w:lineRule="auto"/>
              <w:rPr>
                <w:rFonts w:cs="Arial"/>
                <w:sz w:val="20"/>
                <w:szCs w:val="20"/>
                <w:lang w:eastAsia="en-US"/>
              </w:rPr>
            </w:pPr>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ECE3A26" w14:textId="7EF33C7D" w:rsidR="00B612AD" w:rsidRPr="00A67ABF" w:rsidRDefault="00B612AD" w:rsidP="000E504B">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165634326"/>
                <w14:checkbox>
                  <w14:checked w14:val="1"/>
                  <w14:checkedState w14:val="2612" w14:font="MS Gothic"/>
                  <w14:uncheckedState w14:val="2610" w14:font="MS Gothic"/>
                </w14:checkbox>
              </w:sdtPr>
              <w:sdtEndPr/>
              <w:sdtContent>
                <w:r w:rsidR="00782F90">
                  <w:rPr>
                    <w:rFonts w:ascii="MS Gothic" w:eastAsia="MS Gothic" w:hAnsi="MS Gothic" w:cs="Arial" w:hint="eastAsia"/>
                    <w:sz w:val="20"/>
                    <w:szCs w:val="20"/>
                    <w:lang w:eastAsia="en-US"/>
                  </w:rPr>
                  <w:t>☒</w:t>
                </w:r>
              </w:sdtContent>
            </w:sdt>
          </w:p>
        </w:tc>
      </w:tr>
      <w:tr w:rsidR="00B612AD" w:rsidRPr="00A67ABF" w14:paraId="727462B9" w14:textId="77777777" w:rsidTr="00AA5F00">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C2FFA5" w14:textId="0C276864" w:rsidR="00B612AD" w:rsidRPr="00B7569E" w:rsidRDefault="00B612AD" w:rsidP="000E504B">
            <w:pPr>
              <w:spacing w:before="60" w:after="60" w:line="240" w:lineRule="auto"/>
              <w:jc w:val="left"/>
              <w:rPr>
                <w:rFonts w:cs="Arial"/>
                <w:sz w:val="20"/>
                <w:szCs w:val="20"/>
                <w:lang w:eastAsia="en-US"/>
              </w:rPr>
            </w:pPr>
            <w:r w:rsidRPr="00B7569E">
              <w:rPr>
                <w:rFonts w:cs="Arial"/>
                <w:sz w:val="20"/>
                <w:szCs w:val="20"/>
                <w:lang w:eastAsia="en-US"/>
              </w:rPr>
              <w:t>* Bezugszeitraum:</w:t>
            </w:r>
          </w:p>
        </w:tc>
        <w:tc>
          <w:tcPr>
            <w:tcW w:w="5527"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F8F2B" w14:textId="692DC558" w:rsidR="00B612AD" w:rsidRPr="00B7569E" w:rsidRDefault="00B7569E" w:rsidP="000E504B">
            <w:pPr>
              <w:spacing w:before="60" w:after="60" w:line="240" w:lineRule="auto"/>
              <w:rPr>
                <w:rFonts w:cs="Arial"/>
                <w:sz w:val="20"/>
                <w:szCs w:val="20"/>
                <w:lang w:eastAsia="en-US"/>
              </w:rPr>
            </w:pPr>
            <w:r w:rsidRPr="00B7569E">
              <w:rPr>
                <w:rFonts w:cs="Arial"/>
                <w:sz w:val="20"/>
                <w:szCs w:val="20"/>
                <w:lang w:eastAsia="en-US"/>
              </w:rPr>
              <w:t xml:space="preserve">Wintersemester </w:t>
            </w:r>
            <w:r w:rsidRPr="00E562EB">
              <w:rPr>
                <w:rFonts w:cs="Arial"/>
                <w:sz w:val="20"/>
                <w:szCs w:val="20"/>
                <w:lang w:eastAsia="en-US"/>
              </w:rPr>
              <w:t>2016/201</w:t>
            </w:r>
            <w:r w:rsidR="00E562EB">
              <w:rPr>
                <w:rFonts w:cs="Arial"/>
                <w:sz w:val="20"/>
                <w:szCs w:val="20"/>
                <w:lang w:eastAsia="en-US"/>
              </w:rPr>
              <w:t>7</w:t>
            </w:r>
            <w:r w:rsidRPr="00B7569E">
              <w:rPr>
                <w:rFonts w:cs="Arial"/>
                <w:sz w:val="20"/>
                <w:szCs w:val="20"/>
                <w:lang w:eastAsia="en-US"/>
              </w:rPr>
              <w:t xml:space="preserve"> bis Sommersemester 2023</w:t>
            </w:r>
          </w:p>
        </w:tc>
      </w:tr>
    </w:tbl>
    <w:p w14:paraId="5DA2B828" w14:textId="77777777" w:rsidR="00267434" w:rsidRPr="0029171E" w:rsidRDefault="00267434" w:rsidP="000E504B">
      <w:pPr>
        <w:spacing w:before="0" w:line="240" w:lineRule="auto"/>
        <w:rPr>
          <w:sz w:val="16"/>
          <w:szCs w:val="16"/>
        </w:rPr>
      </w:pP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3"/>
        <w:gridCol w:w="5528"/>
      </w:tblGrid>
      <w:tr w:rsidR="004237AF" w:rsidRPr="003F4506" w14:paraId="7478E2BD" w14:textId="77777777" w:rsidTr="0029171E">
        <w:tc>
          <w:tcPr>
            <w:tcW w:w="3823" w:type="dxa"/>
          </w:tcPr>
          <w:p w14:paraId="1F8C617F" w14:textId="4CB6F4F6" w:rsidR="004237AF" w:rsidRPr="003F4506" w:rsidRDefault="004237AF" w:rsidP="000E504B">
            <w:pPr>
              <w:spacing w:before="60" w:after="60" w:line="240" w:lineRule="auto"/>
              <w:jc w:val="left"/>
              <w:rPr>
                <w:rFonts w:cs="Arial"/>
                <w:sz w:val="20"/>
                <w:szCs w:val="20"/>
                <w:lang w:eastAsia="en-US"/>
              </w:rPr>
            </w:pPr>
            <w:r w:rsidRPr="003F4506">
              <w:rPr>
                <w:rFonts w:cs="Arial"/>
                <w:sz w:val="20"/>
                <w:szCs w:val="20"/>
                <w:lang w:eastAsia="en-US"/>
              </w:rPr>
              <w:t>Reakkreditierung</w:t>
            </w:r>
            <w:r>
              <w:rPr>
                <w:rFonts w:cs="Arial"/>
                <w:sz w:val="20"/>
                <w:szCs w:val="20"/>
                <w:lang w:eastAsia="en-US"/>
              </w:rPr>
              <w:t xml:space="preserve"> Nr. </w:t>
            </w:r>
            <w:r w:rsidR="00792010">
              <w:rPr>
                <w:rFonts w:cs="Arial"/>
                <w:sz w:val="20"/>
                <w:szCs w:val="20"/>
                <w:lang w:eastAsia="en-US"/>
              </w:rPr>
              <w:t>(Anzahl)</w:t>
            </w:r>
          </w:p>
        </w:tc>
        <w:tc>
          <w:tcPr>
            <w:tcW w:w="5528" w:type="dxa"/>
          </w:tcPr>
          <w:p w14:paraId="678500B4" w14:textId="5464722F" w:rsidR="004237AF" w:rsidRPr="003F4506" w:rsidRDefault="00782F90" w:rsidP="000E504B">
            <w:pPr>
              <w:spacing w:before="60" w:after="60" w:line="240" w:lineRule="auto"/>
              <w:ind w:right="-392"/>
              <w:rPr>
                <w:rFonts w:cs="Arial"/>
                <w:sz w:val="20"/>
                <w:szCs w:val="20"/>
                <w:lang w:eastAsia="en-US"/>
              </w:rPr>
            </w:pPr>
            <w:r>
              <w:rPr>
                <w:rFonts w:cs="Arial"/>
                <w:sz w:val="20"/>
                <w:szCs w:val="20"/>
                <w:lang w:eastAsia="en-US"/>
              </w:rPr>
              <w:t>2</w:t>
            </w:r>
          </w:p>
        </w:tc>
      </w:tr>
    </w:tbl>
    <w:p w14:paraId="391051E7" w14:textId="77777777" w:rsidR="005B40F7" w:rsidRPr="005B40F7" w:rsidRDefault="005B40F7" w:rsidP="000E504B">
      <w:pPr>
        <w:spacing w:before="0" w:line="240" w:lineRule="auto"/>
        <w:jc w:val="left"/>
        <w:rPr>
          <w:sz w:val="16"/>
          <w:szCs w:val="16"/>
        </w:rPr>
      </w:pP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3"/>
        <w:gridCol w:w="5528"/>
      </w:tblGrid>
      <w:tr w:rsidR="005B40F7" w:rsidRPr="003F4506" w14:paraId="57AC6BBA" w14:textId="77777777" w:rsidTr="00723DED">
        <w:tc>
          <w:tcPr>
            <w:tcW w:w="3823" w:type="dxa"/>
          </w:tcPr>
          <w:p w14:paraId="0EF11E97" w14:textId="77777777" w:rsidR="005B40F7" w:rsidRPr="003F4506" w:rsidRDefault="005B40F7" w:rsidP="000E504B">
            <w:pPr>
              <w:spacing w:before="60" w:after="60" w:line="240" w:lineRule="auto"/>
              <w:jc w:val="left"/>
              <w:rPr>
                <w:rFonts w:cs="Arial"/>
                <w:sz w:val="20"/>
                <w:szCs w:val="20"/>
                <w:lang w:eastAsia="en-US"/>
              </w:rPr>
            </w:pPr>
            <w:r w:rsidRPr="003F4506">
              <w:rPr>
                <w:rFonts w:cs="Arial"/>
                <w:sz w:val="20"/>
                <w:szCs w:val="20"/>
                <w:lang w:eastAsia="en-US"/>
              </w:rPr>
              <w:t>Verantwortliche Agentur</w:t>
            </w:r>
          </w:p>
        </w:tc>
        <w:tc>
          <w:tcPr>
            <w:tcW w:w="5528" w:type="dxa"/>
          </w:tcPr>
          <w:p w14:paraId="532F4665" w14:textId="6A807393" w:rsidR="005B40F7" w:rsidRPr="003F4506" w:rsidRDefault="00AC68B8" w:rsidP="000E504B">
            <w:pPr>
              <w:spacing w:before="60" w:after="60" w:line="240" w:lineRule="auto"/>
              <w:rPr>
                <w:rFonts w:cs="Arial"/>
                <w:sz w:val="20"/>
                <w:szCs w:val="20"/>
                <w:lang w:eastAsia="en-US"/>
              </w:rPr>
            </w:pPr>
            <w:r>
              <w:rPr>
                <w:rFonts w:cs="Arial"/>
                <w:sz w:val="20"/>
                <w:szCs w:val="20"/>
                <w:lang w:eastAsia="en-US"/>
              </w:rPr>
              <w:t>Akkreditierungsagentur im Bereich Gesundheit und Soziales (AHPGS)</w:t>
            </w:r>
          </w:p>
        </w:tc>
      </w:tr>
    </w:tbl>
    <w:p w14:paraId="4E448871" w14:textId="77777777" w:rsidR="005B40F7" w:rsidRDefault="005B40F7" w:rsidP="000E504B">
      <w:pPr>
        <w:spacing w:before="0" w:line="240" w:lineRule="auto"/>
        <w:jc w:val="left"/>
      </w:pPr>
    </w:p>
    <w:p w14:paraId="464BCF29" w14:textId="6F9C6D4F" w:rsidR="00782F90" w:rsidRDefault="00782F90">
      <w:pPr>
        <w:spacing w:before="0" w:line="240" w:lineRule="auto"/>
        <w:jc w:val="left"/>
      </w:pPr>
      <w:r>
        <w:br w:type="page"/>
      </w:r>
    </w:p>
    <w:p w14:paraId="5F1A506E" w14:textId="77777777" w:rsidR="0029171E" w:rsidRDefault="0029171E" w:rsidP="000E504B">
      <w:pPr>
        <w:spacing w:before="0" w:line="240" w:lineRule="auto"/>
        <w:jc w:val="left"/>
      </w:pPr>
    </w:p>
    <w:p w14:paraId="30678DB0" w14:textId="77777777" w:rsidR="00877A39" w:rsidRPr="002B64C9" w:rsidRDefault="00877A39" w:rsidP="000E504B">
      <w:pPr>
        <w:pStyle w:val="Inhaltsverzeichnisberschrift"/>
        <w:spacing w:line="240" w:lineRule="auto"/>
      </w:pPr>
      <w:bookmarkStart w:id="1" w:name="Inhalt"/>
      <w:r w:rsidRPr="002B64C9">
        <w:t>Inhalt</w:t>
      </w:r>
    </w:p>
    <w:bookmarkEnd w:id="1"/>
    <w:p w14:paraId="1788F3A2" w14:textId="2716A37D" w:rsidR="00085E4B" w:rsidRPr="00F75E1F" w:rsidRDefault="00877A39" w:rsidP="00F75E1F">
      <w:pPr>
        <w:pStyle w:val="Verzeichnis2"/>
        <w:spacing w:line="276" w:lineRule="auto"/>
        <w:rPr>
          <w:rFonts w:ascii="Arial" w:eastAsiaTheme="minorEastAsia" w:hAnsi="Arial" w:cs="Arial"/>
          <w:i w:val="0"/>
          <w:iCs w:val="0"/>
          <w:noProof/>
          <w:kern w:val="2"/>
          <w:sz w:val="22"/>
          <w:szCs w:val="22"/>
          <w14:ligatures w14:val="standardContextual"/>
        </w:rPr>
      </w:pPr>
      <w:r w:rsidRPr="00F75E1F">
        <w:rPr>
          <w:rFonts w:ascii="Arial" w:hAnsi="Arial" w:cs="Arial"/>
          <w:i w:val="0"/>
          <w:iCs w:val="0"/>
          <w:sz w:val="18"/>
          <w:szCs w:val="18"/>
        </w:rPr>
        <w:fldChar w:fldCharType="begin"/>
      </w:r>
      <w:r w:rsidRPr="00F75E1F">
        <w:rPr>
          <w:rFonts w:ascii="Arial" w:hAnsi="Arial" w:cs="Arial"/>
          <w:i w:val="0"/>
          <w:iCs w:val="0"/>
          <w:sz w:val="18"/>
          <w:szCs w:val="18"/>
        </w:rPr>
        <w:instrText xml:space="preserve"> TOC \o "1-4" \h \z \u </w:instrText>
      </w:r>
      <w:r w:rsidRPr="00F75E1F">
        <w:rPr>
          <w:rFonts w:ascii="Arial" w:hAnsi="Arial" w:cs="Arial"/>
          <w:i w:val="0"/>
          <w:iCs w:val="0"/>
          <w:sz w:val="18"/>
          <w:szCs w:val="18"/>
        </w:rPr>
        <w:fldChar w:fldCharType="separate"/>
      </w:r>
      <w:hyperlink w:anchor="_Toc141346962" w:history="1">
        <w:r w:rsidR="00085E4B" w:rsidRPr="00F75E1F">
          <w:rPr>
            <w:rStyle w:val="Hyperlink"/>
            <w:rFonts w:ascii="Arial" w:hAnsi="Arial" w:cs="Arial"/>
            <w:noProof/>
          </w:rPr>
          <w:t>Ergebnisse auf einen Blick</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_Toc141346962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4</w:t>
        </w:r>
        <w:r w:rsidR="00085E4B" w:rsidRPr="00F75E1F">
          <w:rPr>
            <w:rFonts w:ascii="Arial" w:hAnsi="Arial" w:cs="Arial"/>
            <w:noProof/>
            <w:webHidden/>
          </w:rPr>
          <w:fldChar w:fldCharType="end"/>
        </w:r>
      </w:hyperlink>
    </w:p>
    <w:p w14:paraId="7BF741C6" w14:textId="24D9248F" w:rsidR="00085E4B" w:rsidRPr="00F75E1F" w:rsidRDefault="00663C63" w:rsidP="00F75E1F">
      <w:pPr>
        <w:pStyle w:val="Verzeichnis2"/>
        <w:spacing w:line="276" w:lineRule="auto"/>
        <w:rPr>
          <w:rFonts w:ascii="Arial" w:eastAsiaTheme="minorEastAsia" w:hAnsi="Arial" w:cs="Arial"/>
          <w:i w:val="0"/>
          <w:iCs w:val="0"/>
          <w:noProof/>
          <w:kern w:val="2"/>
          <w:sz w:val="22"/>
          <w:szCs w:val="22"/>
          <w14:ligatures w14:val="standardContextual"/>
        </w:rPr>
      </w:pPr>
      <w:hyperlink w:anchor="_Toc141346963" w:history="1">
        <w:r w:rsidR="00085E4B" w:rsidRPr="00F75E1F">
          <w:rPr>
            <w:rStyle w:val="Hyperlink"/>
            <w:rFonts w:ascii="Arial" w:hAnsi="Arial" w:cs="Arial"/>
            <w:noProof/>
          </w:rPr>
          <w:t>Kurzprofil des Studiengangs</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_Toc141346963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5</w:t>
        </w:r>
        <w:r w:rsidR="00085E4B" w:rsidRPr="00F75E1F">
          <w:rPr>
            <w:rFonts w:ascii="Arial" w:hAnsi="Arial" w:cs="Arial"/>
            <w:noProof/>
            <w:webHidden/>
          </w:rPr>
          <w:fldChar w:fldCharType="end"/>
        </w:r>
      </w:hyperlink>
    </w:p>
    <w:p w14:paraId="57A34469" w14:textId="1064C56C" w:rsidR="00085E4B" w:rsidRPr="00F75E1F" w:rsidRDefault="00663C63" w:rsidP="00F75E1F">
      <w:pPr>
        <w:pStyle w:val="Verzeichnis2"/>
        <w:spacing w:line="276" w:lineRule="auto"/>
        <w:rPr>
          <w:rFonts w:ascii="Arial" w:eastAsiaTheme="minorEastAsia" w:hAnsi="Arial" w:cs="Arial"/>
          <w:i w:val="0"/>
          <w:iCs w:val="0"/>
          <w:noProof/>
          <w:kern w:val="2"/>
          <w:sz w:val="22"/>
          <w:szCs w:val="22"/>
          <w14:ligatures w14:val="standardContextual"/>
        </w:rPr>
      </w:pPr>
      <w:hyperlink w:anchor="_Toc141346964" w:history="1">
        <w:r w:rsidR="00085E4B" w:rsidRPr="00F75E1F">
          <w:rPr>
            <w:rStyle w:val="Hyperlink"/>
            <w:rFonts w:ascii="Arial" w:hAnsi="Arial" w:cs="Arial"/>
            <w:noProof/>
          </w:rPr>
          <w:t>Zusammenfassende Qualitätsbewertung des Gutachter:innengremiums</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_Toc141346964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6</w:t>
        </w:r>
        <w:r w:rsidR="00085E4B" w:rsidRPr="00F75E1F">
          <w:rPr>
            <w:rFonts w:ascii="Arial" w:hAnsi="Arial" w:cs="Arial"/>
            <w:noProof/>
            <w:webHidden/>
          </w:rPr>
          <w:fldChar w:fldCharType="end"/>
        </w:r>
      </w:hyperlink>
    </w:p>
    <w:p w14:paraId="2D84572C" w14:textId="5B827CCF" w:rsidR="00085E4B" w:rsidRPr="00F75E1F" w:rsidRDefault="00663C63" w:rsidP="00F75E1F">
      <w:pPr>
        <w:pStyle w:val="Verzeichnis1"/>
        <w:rPr>
          <w:rFonts w:eastAsiaTheme="minorEastAsia"/>
          <w:noProof/>
          <w:kern w:val="2"/>
          <w:sz w:val="22"/>
          <w:szCs w:val="22"/>
          <w14:ligatures w14:val="standardContextual"/>
        </w:rPr>
      </w:pPr>
      <w:hyperlink w:anchor="_Toc141346965" w:history="1">
        <w:r w:rsidR="00085E4B" w:rsidRPr="00F75E1F">
          <w:rPr>
            <w:rStyle w:val="Hyperlink"/>
            <w:rFonts w:ascii="Arial" w:hAnsi="Arial" w:cs="Arial"/>
            <w:noProof/>
          </w:rPr>
          <w:t>1</w:t>
        </w:r>
        <w:r w:rsidR="00085E4B" w:rsidRPr="00F75E1F">
          <w:rPr>
            <w:rFonts w:eastAsiaTheme="minorEastAsia"/>
            <w:noProof/>
            <w:kern w:val="2"/>
            <w:sz w:val="22"/>
            <w:szCs w:val="22"/>
            <w14:ligatures w14:val="standardContextual"/>
          </w:rPr>
          <w:tab/>
        </w:r>
        <w:r w:rsidR="00085E4B" w:rsidRPr="00F75E1F">
          <w:rPr>
            <w:rStyle w:val="Hyperlink"/>
            <w:rFonts w:ascii="Arial" w:hAnsi="Arial" w:cs="Arial"/>
            <w:noProof/>
          </w:rPr>
          <w:t>Prüfbericht: Erfüllung der formalen Kriterien</w:t>
        </w:r>
        <w:r w:rsidR="00085E4B" w:rsidRPr="00F75E1F">
          <w:rPr>
            <w:noProof/>
            <w:webHidden/>
          </w:rPr>
          <w:tab/>
        </w:r>
        <w:r w:rsidR="00085E4B" w:rsidRPr="00F75E1F">
          <w:rPr>
            <w:noProof/>
            <w:webHidden/>
          </w:rPr>
          <w:fldChar w:fldCharType="begin"/>
        </w:r>
        <w:r w:rsidR="00085E4B" w:rsidRPr="00F75E1F">
          <w:rPr>
            <w:noProof/>
            <w:webHidden/>
          </w:rPr>
          <w:instrText xml:space="preserve"> PAGEREF _Toc141346965 \h </w:instrText>
        </w:r>
        <w:r w:rsidR="00085E4B" w:rsidRPr="00F75E1F">
          <w:rPr>
            <w:noProof/>
            <w:webHidden/>
          </w:rPr>
        </w:r>
        <w:r w:rsidR="00085E4B" w:rsidRPr="00F75E1F">
          <w:rPr>
            <w:noProof/>
            <w:webHidden/>
          </w:rPr>
          <w:fldChar w:fldCharType="separate"/>
        </w:r>
        <w:r w:rsidR="00F75E1F">
          <w:rPr>
            <w:noProof/>
            <w:webHidden/>
          </w:rPr>
          <w:t>9</w:t>
        </w:r>
        <w:r w:rsidR="00085E4B" w:rsidRPr="00F75E1F">
          <w:rPr>
            <w:noProof/>
            <w:webHidden/>
          </w:rPr>
          <w:fldChar w:fldCharType="end"/>
        </w:r>
      </w:hyperlink>
    </w:p>
    <w:p w14:paraId="49110375" w14:textId="6DE770C0" w:rsidR="00085E4B" w:rsidRPr="00F75E1F" w:rsidRDefault="00663C63" w:rsidP="00F75E1F">
      <w:pPr>
        <w:pStyle w:val="Verzeichnis2"/>
        <w:spacing w:line="276" w:lineRule="auto"/>
        <w:rPr>
          <w:rFonts w:ascii="Arial" w:eastAsiaTheme="minorEastAsia" w:hAnsi="Arial" w:cs="Arial"/>
          <w:i w:val="0"/>
          <w:iCs w:val="0"/>
          <w:noProof/>
          <w:kern w:val="2"/>
          <w:sz w:val="22"/>
          <w:szCs w:val="22"/>
          <w14:ligatures w14:val="standardContextual"/>
        </w:rPr>
      </w:pPr>
      <w:hyperlink w:anchor="_Toc141346966" w:history="1">
        <w:r w:rsidR="00085E4B" w:rsidRPr="00F75E1F">
          <w:rPr>
            <w:rStyle w:val="Hyperlink"/>
            <w:rFonts w:ascii="Arial" w:hAnsi="Arial" w:cs="Arial"/>
            <w:noProof/>
          </w:rPr>
          <w:t>Studienstruktur und Studiendauer (§ 3 MRVO)</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_Toc141346966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9</w:t>
        </w:r>
        <w:r w:rsidR="00085E4B" w:rsidRPr="00F75E1F">
          <w:rPr>
            <w:rFonts w:ascii="Arial" w:hAnsi="Arial" w:cs="Arial"/>
            <w:noProof/>
            <w:webHidden/>
          </w:rPr>
          <w:fldChar w:fldCharType="end"/>
        </w:r>
      </w:hyperlink>
    </w:p>
    <w:p w14:paraId="2CBE7C7E" w14:textId="1D134F34" w:rsidR="00085E4B" w:rsidRPr="00F75E1F" w:rsidRDefault="00663C63" w:rsidP="00F75E1F">
      <w:pPr>
        <w:pStyle w:val="Verzeichnis2"/>
        <w:spacing w:line="276" w:lineRule="auto"/>
        <w:rPr>
          <w:rFonts w:ascii="Arial" w:eastAsiaTheme="minorEastAsia" w:hAnsi="Arial" w:cs="Arial"/>
          <w:i w:val="0"/>
          <w:iCs w:val="0"/>
          <w:noProof/>
          <w:kern w:val="2"/>
          <w:sz w:val="22"/>
          <w:szCs w:val="22"/>
          <w14:ligatures w14:val="standardContextual"/>
        </w:rPr>
      </w:pPr>
      <w:hyperlink w:anchor="_Toc141346967" w:history="1">
        <w:r w:rsidR="00085E4B" w:rsidRPr="00F75E1F">
          <w:rPr>
            <w:rStyle w:val="Hyperlink"/>
            <w:rFonts w:ascii="Arial" w:hAnsi="Arial" w:cs="Arial"/>
            <w:noProof/>
          </w:rPr>
          <w:t>Studiengangsprofile (§ 4 MRVO)</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_Toc141346967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9</w:t>
        </w:r>
        <w:r w:rsidR="00085E4B" w:rsidRPr="00F75E1F">
          <w:rPr>
            <w:rFonts w:ascii="Arial" w:hAnsi="Arial" w:cs="Arial"/>
            <w:noProof/>
            <w:webHidden/>
          </w:rPr>
          <w:fldChar w:fldCharType="end"/>
        </w:r>
      </w:hyperlink>
    </w:p>
    <w:p w14:paraId="22BAB136" w14:textId="795C641C" w:rsidR="00085E4B" w:rsidRPr="00F75E1F" w:rsidRDefault="00663C63" w:rsidP="00F75E1F">
      <w:pPr>
        <w:pStyle w:val="Verzeichnis2"/>
        <w:spacing w:line="276" w:lineRule="auto"/>
        <w:rPr>
          <w:rFonts w:ascii="Arial" w:eastAsiaTheme="minorEastAsia" w:hAnsi="Arial" w:cs="Arial"/>
          <w:i w:val="0"/>
          <w:iCs w:val="0"/>
          <w:noProof/>
          <w:kern w:val="2"/>
          <w:sz w:val="22"/>
          <w:szCs w:val="22"/>
          <w14:ligatures w14:val="standardContextual"/>
        </w:rPr>
      </w:pPr>
      <w:hyperlink w:anchor="_Toc141346968" w:history="1">
        <w:r w:rsidR="00085E4B" w:rsidRPr="00F75E1F">
          <w:rPr>
            <w:rStyle w:val="Hyperlink"/>
            <w:rFonts w:ascii="Arial" w:hAnsi="Arial" w:cs="Arial"/>
            <w:noProof/>
          </w:rPr>
          <w:t>Zugangsvoraussetzungen und Übergänge zwischen Studienangeboten (§ 5 MRVO)</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_Toc141346968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9</w:t>
        </w:r>
        <w:r w:rsidR="00085E4B" w:rsidRPr="00F75E1F">
          <w:rPr>
            <w:rFonts w:ascii="Arial" w:hAnsi="Arial" w:cs="Arial"/>
            <w:noProof/>
            <w:webHidden/>
          </w:rPr>
          <w:fldChar w:fldCharType="end"/>
        </w:r>
      </w:hyperlink>
    </w:p>
    <w:p w14:paraId="6F2D2A5F" w14:textId="036ABA48" w:rsidR="00085E4B" w:rsidRPr="00F75E1F" w:rsidRDefault="00663C63" w:rsidP="00F75E1F">
      <w:pPr>
        <w:pStyle w:val="Verzeichnis2"/>
        <w:spacing w:line="276" w:lineRule="auto"/>
        <w:rPr>
          <w:rFonts w:ascii="Arial" w:eastAsiaTheme="minorEastAsia" w:hAnsi="Arial" w:cs="Arial"/>
          <w:i w:val="0"/>
          <w:iCs w:val="0"/>
          <w:noProof/>
          <w:kern w:val="2"/>
          <w:sz w:val="22"/>
          <w:szCs w:val="22"/>
          <w14:ligatures w14:val="standardContextual"/>
        </w:rPr>
      </w:pPr>
      <w:hyperlink w:anchor="_Toc141346969" w:history="1">
        <w:r w:rsidR="00085E4B" w:rsidRPr="00F75E1F">
          <w:rPr>
            <w:rStyle w:val="Hyperlink"/>
            <w:rFonts w:ascii="Arial" w:hAnsi="Arial" w:cs="Arial"/>
            <w:noProof/>
          </w:rPr>
          <w:t>Abschlüsse und Abschlussbezeichnungen (§ 6 MRVO)</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_Toc141346969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10</w:t>
        </w:r>
        <w:r w:rsidR="00085E4B" w:rsidRPr="00F75E1F">
          <w:rPr>
            <w:rFonts w:ascii="Arial" w:hAnsi="Arial" w:cs="Arial"/>
            <w:noProof/>
            <w:webHidden/>
          </w:rPr>
          <w:fldChar w:fldCharType="end"/>
        </w:r>
      </w:hyperlink>
    </w:p>
    <w:p w14:paraId="32BF82D6" w14:textId="63D822AA" w:rsidR="00085E4B" w:rsidRPr="00F75E1F" w:rsidRDefault="00663C63" w:rsidP="00F75E1F">
      <w:pPr>
        <w:pStyle w:val="Verzeichnis2"/>
        <w:spacing w:line="276" w:lineRule="auto"/>
        <w:rPr>
          <w:rFonts w:ascii="Arial" w:eastAsiaTheme="minorEastAsia" w:hAnsi="Arial" w:cs="Arial"/>
          <w:i w:val="0"/>
          <w:iCs w:val="0"/>
          <w:noProof/>
          <w:kern w:val="2"/>
          <w:sz w:val="22"/>
          <w:szCs w:val="22"/>
          <w14:ligatures w14:val="standardContextual"/>
        </w:rPr>
      </w:pPr>
      <w:hyperlink w:anchor="_Toc141346970" w:history="1">
        <w:r w:rsidR="00085E4B" w:rsidRPr="00F75E1F">
          <w:rPr>
            <w:rStyle w:val="Hyperlink"/>
            <w:rFonts w:ascii="Arial" w:hAnsi="Arial" w:cs="Arial"/>
            <w:noProof/>
          </w:rPr>
          <w:t>Modularisierung (§ 7 MRVO)</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_Toc141346970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10</w:t>
        </w:r>
        <w:r w:rsidR="00085E4B" w:rsidRPr="00F75E1F">
          <w:rPr>
            <w:rFonts w:ascii="Arial" w:hAnsi="Arial" w:cs="Arial"/>
            <w:noProof/>
            <w:webHidden/>
          </w:rPr>
          <w:fldChar w:fldCharType="end"/>
        </w:r>
      </w:hyperlink>
    </w:p>
    <w:p w14:paraId="780B1D30" w14:textId="2F8FAF42" w:rsidR="00085E4B" w:rsidRPr="00F75E1F" w:rsidRDefault="00663C63" w:rsidP="00F75E1F">
      <w:pPr>
        <w:pStyle w:val="Verzeichnis2"/>
        <w:spacing w:line="276" w:lineRule="auto"/>
        <w:rPr>
          <w:rFonts w:ascii="Arial" w:eastAsiaTheme="minorEastAsia" w:hAnsi="Arial" w:cs="Arial"/>
          <w:i w:val="0"/>
          <w:iCs w:val="0"/>
          <w:noProof/>
          <w:kern w:val="2"/>
          <w:sz w:val="22"/>
          <w:szCs w:val="22"/>
          <w14:ligatures w14:val="standardContextual"/>
        </w:rPr>
      </w:pPr>
      <w:hyperlink w:anchor="_Toc141346971" w:history="1">
        <w:r w:rsidR="00085E4B" w:rsidRPr="00F75E1F">
          <w:rPr>
            <w:rStyle w:val="Hyperlink"/>
            <w:rFonts w:ascii="Arial" w:hAnsi="Arial" w:cs="Arial"/>
            <w:noProof/>
          </w:rPr>
          <w:t>Leistungspunktesystem (§ 8 MRVO)</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_Toc141346971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10</w:t>
        </w:r>
        <w:r w:rsidR="00085E4B" w:rsidRPr="00F75E1F">
          <w:rPr>
            <w:rFonts w:ascii="Arial" w:hAnsi="Arial" w:cs="Arial"/>
            <w:noProof/>
            <w:webHidden/>
          </w:rPr>
          <w:fldChar w:fldCharType="end"/>
        </w:r>
      </w:hyperlink>
    </w:p>
    <w:p w14:paraId="5D6BA549" w14:textId="272907C2" w:rsidR="00085E4B" w:rsidRPr="00F75E1F" w:rsidRDefault="00663C63" w:rsidP="00F75E1F">
      <w:pPr>
        <w:pStyle w:val="Verzeichnis2"/>
        <w:spacing w:line="276" w:lineRule="auto"/>
        <w:rPr>
          <w:rFonts w:ascii="Arial" w:eastAsiaTheme="minorEastAsia" w:hAnsi="Arial" w:cs="Arial"/>
          <w:i w:val="0"/>
          <w:iCs w:val="0"/>
          <w:noProof/>
          <w:kern w:val="2"/>
          <w:sz w:val="22"/>
          <w:szCs w:val="22"/>
          <w14:ligatures w14:val="standardContextual"/>
        </w:rPr>
      </w:pPr>
      <w:hyperlink w:anchor="_Toc141346972" w:history="1">
        <w:r w:rsidR="00085E4B" w:rsidRPr="00F75E1F">
          <w:rPr>
            <w:rStyle w:val="Hyperlink"/>
            <w:rFonts w:ascii="Arial" w:hAnsi="Arial" w:cs="Arial"/>
            <w:noProof/>
          </w:rPr>
          <w:t>Anerkennung und Anrechnung (Art. 2 Abs. 2 StAkkrStV)</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_Toc141346972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11</w:t>
        </w:r>
        <w:r w:rsidR="00085E4B" w:rsidRPr="00F75E1F">
          <w:rPr>
            <w:rFonts w:ascii="Arial" w:hAnsi="Arial" w:cs="Arial"/>
            <w:noProof/>
            <w:webHidden/>
          </w:rPr>
          <w:fldChar w:fldCharType="end"/>
        </w:r>
      </w:hyperlink>
    </w:p>
    <w:p w14:paraId="05B0BC43" w14:textId="25A13A82" w:rsidR="00085E4B" w:rsidRPr="00F75E1F" w:rsidRDefault="00663C63" w:rsidP="00F75E1F">
      <w:pPr>
        <w:pStyle w:val="Verzeichnis1"/>
        <w:rPr>
          <w:rFonts w:eastAsiaTheme="minorEastAsia"/>
          <w:noProof/>
          <w:kern w:val="2"/>
          <w:sz w:val="22"/>
          <w:szCs w:val="22"/>
          <w14:ligatures w14:val="standardContextual"/>
        </w:rPr>
      </w:pPr>
      <w:hyperlink w:anchor="_Toc141346973" w:history="1">
        <w:r w:rsidR="00085E4B" w:rsidRPr="00F75E1F">
          <w:rPr>
            <w:rStyle w:val="Hyperlink"/>
            <w:rFonts w:ascii="Arial" w:hAnsi="Arial" w:cs="Arial"/>
            <w:noProof/>
          </w:rPr>
          <w:t>2</w:t>
        </w:r>
        <w:r w:rsidR="00085E4B" w:rsidRPr="00F75E1F">
          <w:rPr>
            <w:rFonts w:eastAsiaTheme="minorEastAsia"/>
            <w:noProof/>
            <w:kern w:val="2"/>
            <w:sz w:val="22"/>
            <w:szCs w:val="22"/>
            <w14:ligatures w14:val="standardContextual"/>
          </w:rPr>
          <w:tab/>
        </w:r>
        <w:r w:rsidR="00085E4B" w:rsidRPr="00F75E1F">
          <w:rPr>
            <w:rStyle w:val="Hyperlink"/>
            <w:rFonts w:ascii="Arial" w:hAnsi="Arial" w:cs="Arial"/>
            <w:noProof/>
          </w:rPr>
          <w:t>Gutachten: Erfüllung der fachlich-inhaltlichen Kriterien</w:t>
        </w:r>
        <w:r w:rsidR="00085E4B" w:rsidRPr="00F75E1F">
          <w:rPr>
            <w:noProof/>
            <w:webHidden/>
          </w:rPr>
          <w:tab/>
        </w:r>
        <w:r w:rsidR="00085E4B" w:rsidRPr="00F75E1F">
          <w:rPr>
            <w:noProof/>
            <w:webHidden/>
          </w:rPr>
          <w:fldChar w:fldCharType="begin"/>
        </w:r>
        <w:r w:rsidR="00085E4B" w:rsidRPr="00F75E1F">
          <w:rPr>
            <w:noProof/>
            <w:webHidden/>
          </w:rPr>
          <w:instrText xml:space="preserve"> PAGEREF _Toc141346973 \h </w:instrText>
        </w:r>
        <w:r w:rsidR="00085E4B" w:rsidRPr="00F75E1F">
          <w:rPr>
            <w:noProof/>
            <w:webHidden/>
          </w:rPr>
        </w:r>
        <w:r w:rsidR="00085E4B" w:rsidRPr="00F75E1F">
          <w:rPr>
            <w:noProof/>
            <w:webHidden/>
          </w:rPr>
          <w:fldChar w:fldCharType="separate"/>
        </w:r>
        <w:r w:rsidR="00F75E1F">
          <w:rPr>
            <w:noProof/>
            <w:webHidden/>
          </w:rPr>
          <w:t>11</w:t>
        </w:r>
        <w:r w:rsidR="00085E4B" w:rsidRPr="00F75E1F">
          <w:rPr>
            <w:noProof/>
            <w:webHidden/>
          </w:rPr>
          <w:fldChar w:fldCharType="end"/>
        </w:r>
      </w:hyperlink>
    </w:p>
    <w:p w14:paraId="6833088A" w14:textId="29C314A1" w:rsidR="00085E4B" w:rsidRPr="00F75E1F" w:rsidRDefault="00663C63" w:rsidP="00F75E1F">
      <w:pPr>
        <w:pStyle w:val="Verzeichnis2"/>
        <w:tabs>
          <w:tab w:val="left" w:pos="880"/>
        </w:tabs>
        <w:spacing w:line="276" w:lineRule="auto"/>
        <w:rPr>
          <w:rFonts w:ascii="Arial" w:eastAsiaTheme="minorEastAsia" w:hAnsi="Arial" w:cs="Arial"/>
          <w:i w:val="0"/>
          <w:iCs w:val="0"/>
          <w:noProof/>
          <w:kern w:val="2"/>
          <w:sz w:val="22"/>
          <w:szCs w:val="22"/>
          <w14:ligatures w14:val="standardContextual"/>
        </w:rPr>
      </w:pPr>
      <w:hyperlink w:anchor="_Toc141346974" w:history="1">
        <w:r w:rsidR="00085E4B" w:rsidRPr="00F75E1F">
          <w:rPr>
            <w:rStyle w:val="Hyperlink"/>
            <w:rFonts w:ascii="Arial" w:hAnsi="Arial" w:cs="Arial"/>
            <w:noProof/>
          </w:rPr>
          <w:t>2.1</w:t>
        </w:r>
        <w:r w:rsidR="00085E4B" w:rsidRPr="00F75E1F">
          <w:rPr>
            <w:rFonts w:ascii="Arial" w:eastAsiaTheme="minorEastAsia" w:hAnsi="Arial" w:cs="Arial"/>
            <w:i w:val="0"/>
            <w:iCs w:val="0"/>
            <w:noProof/>
            <w:kern w:val="2"/>
            <w:sz w:val="22"/>
            <w:szCs w:val="22"/>
            <w14:ligatures w14:val="standardContextual"/>
          </w:rPr>
          <w:tab/>
        </w:r>
        <w:r w:rsidR="00085E4B" w:rsidRPr="00F75E1F">
          <w:rPr>
            <w:rStyle w:val="Hyperlink"/>
            <w:rFonts w:ascii="Arial" w:hAnsi="Arial" w:cs="Arial"/>
            <w:noProof/>
          </w:rPr>
          <w:t>Schwerpunkte der Bewertung / Fokus der Qualitätsentwicklung</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_Toc141346974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11</w:t>
        </w:r>
        <w:r w:rsidR="00085E4B" w:rsidRPr="00F75E1F">
          <w:rPr>
            <w:rFonts w:ascii="Arial" w:hAnsi="Arial" w:cs="Arial"/>
            <w:noProof/>
            <w:webHidden/>
          </w:rPr>
          <w:fldChar w:fldCharType="end"/>
        </w:r>
      </w:hyperlink>
    </w:p>
    <w:p w14:paraId="08DB8ACD" w14:textId="4EF34F26" w:rsidR="00085E4B" w:rsidRPr="00F75E1F" w:rsidRDefault="00663C63" w:rsidP="00F75E1F">
      <w:pPr>
        <w:pStyle w:val="Verzeichnis2"/>
        <w:tabs>
          <w:tab w:val="left" w:pos="880"/>
        </w:tabs>
        <w:spacing w:line="276" w:lineRule="auto"/>
        <w:rPr>
          <w:rFonts w:ascii="Arial" w:eastAsiaTheme="minorEastAsia" w:hAnsi="Arial" w:cs="Arial"/>
          <w:i w:val="0"/>
          <w:iCs w:val="0"/>
          <w:noProof/>
          <w:kern w:val="2"/>
          <w:sz w:val="22"/>
          <w:szCs w:val="22"/>
          <w14:ligatures w14:val="standardContextual"/>
        </w:rPr>
      </w:pPr>
      <w:hyperlink w:anchor="_Toc141346975" w:history="1">
        <w:r w:rsidR="00085E4B" w:rsidRPr="00F75E1F">
          <w:rPr>
            <w:rStyle w:val="Hyperlink"/>
            <w:rFonts w:ascii="Arial" w:hAnsi="Arial" w:cs="Arial"/>
            <w:noProof/>
          </w:rPr>
          <w:t>2.2</w:t>
        </w:r>
        <w:r w:rsidR="00085E4B" w:rsidRPr="00F75E1F">
          <w:rPr>
            <w:rFonts w:ascii="Arial" w:eastAsiaTheme="minorEastAsia" w:hAnsi="Arial" w:cs="Arial"/>
            <w:i w:val="0"/>
            <w:iCs w:val="0"/>
            <w:noProof/>
            <w:kern w:val="2"/>
            <w:sz w:val="22"/>
            <w:szCs w:val="22"/>
            <w14:ligatures w14:val="standardContextual"/>
          </w:rPr>
          <w:tab/>
        </w:r>
        <w:r w:rsidR="00085E4B" w:rsidRPr="00F75E1F">
          <w:rPr>
            <w:rStyle w:val="Hyperlink"/>
            <w:rFonts w:ascii="Arial" w:hAnsi="Arial" w:cs="Arial"/>
            <w:noProof/>
          </w:rPr>
          <w:t>Erfüllung der fachlich-inhaltlichen Kriterien</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_Toc141346975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11</w:t>
        </w:r>
        <w:r w:rsidR="00085E4B" w:rsidRPr="00F75E1F">
          <w:rPr>
            <w:rFonts w:ascii="Arial" w:hAnsi="Arial" w:cs="Arial"/>
            <w:noProof/>
            <w:webHidden/>
          </w:rPr>
          <w:fldChar w:fldCharType="end"/>
        </w:r>
      </w:hyperlink>
    </w:p>
    <w:p w14:paraId="696886D4" w14:textId="3AE1F9FC" w:rsidR="00085E4B" w:rsidRPr="00F75E1F" w:rsidRDefault="00663C63" w:rsidP="00F75E1F">
      <w:pPr>
        <w:pStyle w:val="Verzeichnis3"/>
        <w:tabs>
          <w:tab w:val="right" w:leader="dot" w:pos="9344"/>
        </w:tabs>
        <w:spacing w:before="240"/>
        <w:rPr>
          <w:rFonts w:ascii="Arial" w:eastAsiaTheme="minorEastAsia" w:hAnsi="Arial" w:cs="Arial"/>
          <w:noProof/>
          <w:kern w:val="2"/>
          <w:sz w:val="22"/>
          <w:szCs w:val="22"/>
          <w14:ligatures w14:val="standardContextual"/>
        </w:rPr>
      </w:pPr>
      <w:hyperlink w:anchor="_Toc141346976" w:history="1">
        <w:r w:rsidR="00085E4B" w:rsidRPr="00F75E1F">
          <w:rPr>
            <w:rStyle w:val="Hyperlink"/>
            <w:rFonts w:ascii="Arial" w:hAnsi="Arial" w:cs="Arial"/>
            <w:noProof/>
          </w:rPr>
          <w:t>Qualifikationsziele und Abschlussniveau (§ 11 MRVO)</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_Toc141346976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12</w:t>
        </w:r>
        <w:r w:rsidR="00085E4B" w:rsidRPr="00F75E1F">
          <w:rPr>
            <w:rFonts w:ascii="Arial" w:hAnsi="Arial" w:cs="Arial"/>
            <w:noProof/>
            <w:webHidden/>
          </w:rPr>
          <w:fldChar w:fldCharType="end"/>
        </w:r>
      </w:hyperlink>
    </w:p>
    <w:p w14:paraId="6A09613C" w14:textId="58DEC704" w:rsidR="00085E4B" w:rsidRPr="00F75E1F" w:rsidRDefault="00663C63" w:rsidP="00F75E1F">
      <w:pPr>
        <w:pStyle w:val="Verzeichnis3"/>
        <w:tabs>
          <w:tab w:val="right" w:leader="dot" w:pos="9344"/>
        </w:tabs>
        <w:rPr>
          <w:rFonts w:ascii="Arial" w:eastAsiaTheme="minorEastAsia" w:hAnsi="Arial" w:cs="Arial"/>
          <w:noProof/>
          <w:kern w:val="2"/>
          <w:sz w:val="22"/>
          <w:szCs w:val="22"/>
          <w14:ligatures w14:val="standardContextual"/>
        </w:rPr>
      </w:pPr>
      <w:hyperlink w:anchor="_Toc141346977" w:history="1">
        <w:r w:rsidR="00085E4B" w:rsidRPr="00F75E1F">
          <w:rPr>
            <w:rStyle w:val="Hyperlink"/>
            <w:rFonts w:ascii="Arial" w:hAnsi="Arial" w:cs="Arial"/>
            <w:noProof/>
          </w:rPr>
          <w:t>Schlüssiges Studiengangskonzept und adäquate Umsetzung (§ 12 MRVO)</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_Toc141346977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15</w:t>
        </w:r>
        <w:r w:rsidR="00085E4B" w:rsidRPr="00F75E1F">
          <w:rPr>
            <w:rFonts w:ascii="Arial" w:hAnsi="Arial" w:cs="Arial"/>
            <w:noProof/>
            <w:webHidden/>
          </w:rPr>
          <w:fldChar w:fldCharType="end"/>
        </w:r>
      </w:hyperlink>
    </w:p>
    <w:p w14:paraId="04E41C0F" w14:textId="32CBDDC2" w:rsidR="00085E4B" w:rsidRPr="00F75E1F" w:rsidRDefault="00663C63" w:rsidP="00F75E1F">
      <w:pPr>
        <w:pStyle w:val="Verzeichnis4"/>
        <w:tabs>
          <w:tab w:val="right" w:leader="dot" w:pos="9344"/>
        </w:tabs>
        <w:rPr>
          <w:rFonts w:ascii="Arial" w:eastAsiaTheme="minorEastAsia" w:hAnsi="Arial" w:cs="Arial"/>
          <w:noProof/>
          <w:kern w:val="2"/>
          <w:sz w:val="22"/>
          <w:szCs w:val="22"/>
          <w14:ligatures w14:val="standardContextual"/>
        </w:rPr>
      </w:pPr>
      <w:hyperlink w:anchor="_Toc141346978" w:history="1">
        <w:r w:rsidR="00085E4B" w:rsidRPr="00F75E1F">
          <w:rPr>
            <w:rStyle w:val="Hyperlink"/>
            <w:rFonts w:ascii="Arial" w:hAnsi="Arial" w:cs="Arial"/>
            <w:noProof/>
          </w:rPr>
          <w:t>Curriculum (§ 12 Abs. 1 Sätze 1 bis 3 und 5 MRVO)</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_Toc141346978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15</w:t>
        </w:r>
        <w:r w:rsidR="00085E4B" w:rsidRPr="00F75E1F">
          <w:rPr>
            <w:rFonts w:ascii="Arial" w:hAnsi="Arial" w:cs="Arial"/>
            <w:noProof/>
            <w:webHidden/>
          </w:rPr>
          <w:fldChar w:fldCharType="end"/>
        </w:r>
      </w:hyperlink>
    </w:p>
    <w:p w14:paraId="3E151615" w14:textId="40096DD1" w:rsidR="00085E4B" w:rsidRPr="00F75E1F" w:rsidRDefault="00663C63" w:rsidP="00F75E1F">
      <w:pPr>
        <w:pStyle w:val="Verzeichnis4"/>
        <w:tabs>
          <w:tab w:val="right" w:leader="dot" w:pos="9344"/>
        </w:tabs>
        <w:rPr>
          <w:rFonts w:ascii="Arial" w:eastAsiaTheme="minorEastAsia" w:hAnsi="Arial" w:cs="Arial"/>
          <w:noProof/>
          <w:kern w:val="2"/>
          <w:sz w:val="22"/>
          <w:szCs w:val="22"/>
          <w14:ligatures w14:val="standardContextual"/>
        </w:rPr>
      </w:pPr>
      <w:hyperlink w:anchor="_Toc141346979" w:history="1">
        <w:r w:rsidR="00085E4B" w:rsidRPr="00F75E1F">
          <w:rPr>
            <w:rStyle w:val="Hyperlink"/>
            <w:rFonts w:ascii="Arial" w:hAnsi="Arial" w:cs="Arial"/>
            <w:noProof/>
          </w:rPr>
          <w:t>Mobilität (§ 12 Abs. 1 Satz 4 MRVO)</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_Toc141346979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19</w:t>
        </w:r>
        <w:r w:rsidR="00085E4B" w:rsidRPr="00F75E1F">
          <w:rPr>
            <w:rFonts w:ascii="Arial" w:hAnsi="Arial" w:cs="Arial"/>
            <w:noProof/>
            <w:webHidden/>
          </w:rPr>
          <w:fldChar w:fldCharType="end"/>
        </w:r>
      </w:hyperlink>
    </w:p>
    <w:p w14:paraId="49FD0B08" w14:textId="411FBABB" w:rsidR="00085E4B" w:rsidRPr="00F75E1F" w:rsidRDefault="00663C63" w:rsidP="00F75E1F">
      <w:pPr>
        <w:pStyle w:val="Verzeichnis4"/>
        <w:tabs>
          <w:tab w:val="right" w:leader="dot" w:pos="9344"/>
        </w:tabs>
        <w:rPr>
          <w:rFonts w:ascii="Arial" w:eastAsiaTheme="minorEastAsia" w:hAnsi="Arial" w:cs="Arial"/>
          <w:noProof/>
          <w:kern w:val="2"/>
          <w:sz w:val="22"/>
          <w:szCs w:val="22"/>
          <w14:ligatures w14:val="standardContextual"/>
        </w:rPr>
      </w:pPr>
      <w:hyperlink w:anchor="_Toc141346980" w:history="1">
        <w:r w:rsidR="00085E4B" w:rsidRPr="00F75E1F">
          <w:rPr>
            <w:rStyle w:val="Hyperlink"/>
            <w:rFonts w:ascii="Arial" w:hAnsi="Arial" w:cs="Arial"/>
            <w:noProof/>
          </w:rPr>
          <w:t>Personelle Ausstattung (§ 12 Abs. 2 MRVO)</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_Toc141346980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20</w:t>
        </w:r>
        <w:r w:rsidR="00085E4B" w:rsidRPr="00F75E1F">
          <w:rPr>
            <w:rFonts w:ascii="Arial" w:hAnsi="Arial" w:cs="Arial"/>
            <w:noProof/>
            <w:webHidden/>
          </w:rPr>
          <w:fldChar w:fldCharType="end"/>
        </w:r>
      </w:hyperlink>
    </w:p>
    <w:p w14:paraId="0B9CFEDC" w14:textId="25EC8B9F" w:rsidR="00085E4B" w:rsidRPr="00F75E1F" w:rsidRDefault="00663C63" w:rsidP="00F75E1F">
      <w:pPr>
        <w:pStyle w:val="Verzeichnis4"/>
        <w:tabs>
          <w:tab w:val="right" w:leader="dot" w:pos="9344"/>
        </w:tabs>
        <w:rPr>
          <w:rFonts w:ascii="Arial" w:eastAsiaTheme="minorEastAsia" w:hAnsi="Arial" w:cs="Arial"/>
          <w:noProof/>
          <w:kern w:val="2"/>
          <w:sz w:val="22"/>
          <w:szCs w:val="22"/>
          <w14:ligatures w14:val="standardContextual"/>
        </w:rPr>
      </w:pPr>
      <w:hyperlink w:anchor="_Toc141346981" w:history="1">
        <w:r w:rsidR="00085E4B" w:rsidRPr="00F75E1F">
          <w:rPr>
            <w:rStyle w:val="Hyperlink"/>
            <w:rFonts w:ascii="Arial" w:hAnsi="Arial" w:cs="Arial"/>
            <w:noProof/>
          </w:rPr>
          <w:t>Ressourcenausstattung (§ 12 Abs. 3 MRVO)</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_Toc141346981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21</w:t>
        </w:r>
        <w:r w:rsidR="00085E4B" w:rsidRPr="00F75E1F">
          <w:rPr>
            <w:rFonts w:ascii="Arial" w:hAnsi="Arial" w:cs="Arial"/>
            <w:noProof/>
            <w:webHidden/>
          </w:rPr>
          <w:fldChar w:fldCharType="end"/>
        </w:r>
      </w:hyperlink>
    </w:p>
    <w:p w14:paraId="20EA064E" w14:textId="619F3402" w:rsidR="00085E4B" w:rsidRPr="00F75E1F" w:rsidRDefault="00663C63" w:rsidP="00F75E1F">
      <w:pPr>
        <w:pStyle w:val="Verzeichnis4"/>
        <w:tabs>
          <w:tab w:val="right" w:leader="dot" w:pos="9344"/>
        </w:tabs>
        <w:rPr>
          <w:rFonts w:ascii="Arial" w:eastAsiaTheme="minorEastAsia" w:hAnsi="Arial" w:cs="Arial"/>
          <w:noProof/>
          <w:kern w:val="2"/>
          <w:sz w:val="22"/>
          <w:szCs w:val="22"/>
          <w14:ligatures w14:val="standardContextual"/>
        </w:rPr>
      </w:pPr>
      <w:hyperlink w:anchor="_Toc141346982" w:history="1">
        <w:r w:rsidR="00085E4B" w:rsidRPr="00F75E1F">
          <w:rPr>
            <w:rStyle w:val="Hyperlink"/>
            <w:rFonts w:ascii="Arial" w:hAnsi="Arial" w:cs="Arial"/>
            <w:noProof/>
          </w:rPr>
          <w:t>Prüfungssystem (§ 12 Abs. 4 MRVO)</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_Toc141346982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22</w:t>
        </w:r>
        <w:r w:rsidR="00085E4B" w:rsidRPr="00F75E1F">
          <w:rPr>
            <w:rFonts w:ascii="Arial" w:hAnsi="Arial" w:cs="Arial"/>
            <w:noProof/>
            <w:webHidden/>
          </w:rPr>
          <w:fldChar w:fldCharType="end"/>
        </w:r>
      </w:hyperlink>
    </w:p>
    <w:p w14:paraId="4D00A3A5" w14:textId="218C7ADE" w:rsidR="00085E4B" w:rsidRPr="00F75E1F" w:rsidRDefault="00663C63" w:rsidP="00F75E1F">
      <w:pPr>
        <w:pStyle w:val="Verzeichnis4"/>
        <w:tabs>
          <w:tab w:val="right" w:leader="dot" w:pos="9344"/>
        </w:tabs>
        <w:rPr>
          <w:rFonts w:ascii="Arial" w:eastAsiaTheme="minorEastAsia" w:hAnsi="Arial" w:cs="Arial"/>
          <w:noProof/>
          <w:kern w:val="2"/>
          <w:sz w:val="22"/>
          <w:szCs w:val="22"/>
          <w14:ligatures w14:val="standardContextual"/>
        </w:rPr>
      </w:pPr>
      <w:hyperlink w:anchor="_Toc141346983" w:history="1">
        <w:r w:rsidR="00085E4B" w:rsidRPr="00F75E1F">
          <w:rPr>
            <w:rStyle w:val="Hyperlink"/>
            <w:rFonts w:ascii="Arial" w:hAnsi="Arial" w:cs="Arial"/>
            <w:noProof/>
          </w:rPr>
          <w:t>Studierbarkeit (§ 12 Abs. 5 MRVO)</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_Toc141346983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23</w:t>
        </w:r>
        <w:r w:rsidR="00085E4B" w:rsidRPr="00F75E1F">
          <w:rPr>
            <w:rFonts w:ascii="Arial" w:hAnsi="Arial" w:cs="Arial"/>
            <w:noProof/>
            <w:webHidden/>
          </w:rPr>
          <w:fldChar w:fldCharType="end"/>
        </w:r>
      </w:hyperlink>
    </w:p>
    <w:p w14:paraId="2C92CB75" w14:textId="7426E560" w:rsidR="00085E4B" w:rsidRPr="00F75E1F" w:rsidRDefault="00663C63" w:rsidP="00F75E1F">
      <w:pPr>
        <w:pStyle w:val="Verzeichnis3"/>
        <w:tabs>
          <w:tab w:val="right" w:leader="dot" w:pos="9344"/>
        </w:tabs>
        <w:rPr>
          <w:rFonts w:ascii="Arial" w:eastAsiaTheme="minorEastAsia" w:hAnsi="Arial" w:cs="Arial"/>
          <w:noProof/>
          <w:kern w:val="2"/>
          <w:sz w:val="22"/>
          <w:szCs w:val="22"/>
          <w14:ligatures w14:val="standardContextual"/>
        </w:rPr>
      </w:pPr>
      <w:hyperlink w:anchor="_Toc141346984" w:history="1">
        <w:r w:rsidR="00085E4B" w:rsidRPr="00F75E1F">
          <w:rPr>
            <w:rStyle w:val="Hyperlink"/>
            <w:rFonts w:ascii="Arial" w:hAnsi="Arial" w:cs="Arial"/>
            <w:noProof/>
          </w:rPr>
          <w:t>Fachlich-Inhaltliche Gestaltung der Studiengänge (§ 13 MRVO)</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_Toc141346984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25</w:t>
        </w:r>
        <w:r w:rsidR="00085E4B" w:rsidRPr="00F75E1F">
          <w:rPr>
            <w:rFonts w:ascii="Arial" w:hAnsi="Arial" w:cs="Arial"/>
            <w:noProof/>
            <w:webHidden/>
          </w:rPr>
          <w:fldChar w:fldCharType="end"/>
        </w:r>
      </w:hyperlink>
    </w:p>
    <w:p w14:paraId="16940B2B" w14:textId="2D7E4702" w:rsidR="00085E4B" w:rsidRPr="00F75E1F" w:rsidRDefault="00663C63" w:rsidP="00F75E1F">
      <w:pPr>
        <w:pStyle w:val="Verzeichnis4"/>
        <w:tabs>
          <w:tab w:val="right" w:leader="dot" w:pos="9344"/>
        </w:tabs>
        <w:rPr>
          <w:rFonts w:ascii="Arial" w:eastAsiaTheme="minorEastAsia" w:hAnsi="Arial" w:cs="Arial"/>
          <w:noProof/>
          <w:kern w:val="2"/>
          <w:sz w:val="22"/>
          <w:szCs w:val="22"/>
          <w14:ligatures w14:val="standardContextual"/>
        </w:rPr>
      </w:pPr>
      <w:hyperlink w:anchor="_Toc141346985" w:history="1">
        <w:r w:rsidR="00085E4B" w:rsidRPr="00F75E1F">
          <w:rPr>
            <w:rStyle w:val="Hyperlink"/>
            <w:rFonts w:ascii="Arial" w:hAnsi="Arial" w:cs="Arial"/>
            <w:noProof/>
          </w:rPr>
          <w:t>Aktualität der fachlichen und wissenschaftlichen Anforderungen (§ 13 Abs. 1 MRVO)</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_Toc141346985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25</w:t>
        </w:r>
        <w:r w:rsidR="00085E4B" w:rsidRPr="00F75E1F">
          <w:rPr>
            <w:rFonts w:ascii="Arial" w:hAnsi="Arial" w:cs="Arial"/>
            <w:noProof/>
            <w:webHidden/>
          </w:rPr>
          <w:fldChar w:fldCharType="end"/>
        </w:r>
      </w:hyperlink>
    </w:p>
    <w:p w14:paraId="487D24EC" w14:textId="4F4960A1" w:rsidR="00085E4B" w:rsidRPr="00F75E1F" w:rsidRDefault="00663C63" w:rsidP="00F75E1F">
      <w:pPr>
        <w:pStyle w:val="Verzeichnis3"/>
        <w:tabs>
          <w:tab w:val="right" w:leader="dot" w:pos="9344"/>
        </w:tabs>
        <w:rPr>
          <w:rFonts w:ascii="Arial" w:eastAsiaTheme="minorEastAsia" w:hAnsi="Arial" w:cs="Arial"/>
          <w:noProof/>
          <w:kern w:val="2"/>
          <w:sz w:val="22"/>
          <w:szCs w:val="22"/>
          <w14:ligatures w14:val="standardContextual"/>
        </w:rPr>
      </w:pPr>
      <w:hyperlink w:anchor="_Toc141346986" w:history="1">
        <w:r w:rsidR="00085E4B" w:rsidRPr="00F75E1F">
          <w:rPr>
            <w:rStyle w:val="Hyperlink"/>
            <w:rFonts w:ascii="Arial" w:hAnsi="Arial" w:cs="Arial"/>
            <w:noProof/>
          </w:rPr>
          <w:t>Studienerfolg (§ 14 MRVO)</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_Toc141346986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26</w:t>
        </w:r>
        <w:r w:rsidR="00085E4B" w:rsidRPr="00F75E1F">
          <w:rPr>
            <w:rFonts w:ascii="Arial" w:hAnsi="Arial" w:cs="Arial"/>
            <w:noProof/>
            <w:webHidden/>
          </w:rPr>
          <w:fldChar w:fldCharType="end"/>
        </w:r>
      </w:hyperlink>
    </w:p>
    <w:p w14:paraId="03FE4356" w14:textId="71FBD99A" w:rsidR="00085E4B" w:rsidRPr="00F75E1F" w:rsidRDefault="00663C63" w:rsidP="00F75E1F">
      <w:pPr>
        <w:pStyle w:val="Verzeichnis3"/>
        <w:tabs>
          <w:tab w:val="right" w:leader="dot" w:pos="9344"/>
        </w:tabs>
        <w:rPr>
          <w:rFonts w:ascii="Arial" w:eastAsiaTheme="minorEastAsia" w:hAnsi="Arial" w:cs="Arial"/>
          <w:noProof/>
          <w:kern w:val="2"/>
          <w:sz w:val="22"/>
          <w:szCs w:val="22"/>
          <w14:ligatures w14:val="standardContextual"/>
        </w:rPr>
      </w:pPr>
      <w:hyperlink w:anchor="_Toc141346987" w:history="1">
        <w:r w:rsidR="00085E4B" w:rsidRPr="00F75E1F">
          <w:rPr>
            <w:rStyle w:val="Hyperlink"/>
            <w:rFonts w:ascii="Arial" w:hAnsi="Arial" w:cs="Arial"/>
            <w:noProof/>
          </w:rPr>
          <w:t>Geschlechtergerechtigkeit und Nachteilsausgleich (§ 15 MRVO)</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_Toc141346987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29</w:t>
        </w:r>
        <w:r w:rsidR="00085E4B" w:rsidRPr="00F75E1F">
          <w:rPr>
            <w:rFonts w:ascii="Arial" w:hAnsi="Arial" w:cs="Arial"/>
            <w:noProof/>
            <w:webHidden/>
          </w:rPr>
          <w:fldChar w:fldCharType="end"/>
        </w:r>
      </w:hyperlink>
    </w:p>
    <w:p w14:paraId="4C69E64D" w14:textId="53D8008C" w:rsidR="00085E4B" w:rsidRPr="00F75E1F" w:rsidRDefault="00663C63" w:rsidP="00F75E1F">
      <w:pPr>
        <w:pStyle w:val="Verzeichnis1"/>
        <w:rPr>
          <w:rFonts w:eastAsiaTheme="minorEastAsia"/>
          <w:noProof/>
          <w:kern w:val="2"/>
          <w:sz w:val="22"/>
          <w:szCs w:val="22"/>
          <w14:ligatures w14:val="standardContextual"/>
        </w:rPr>
      </w:pPr>
      <w:hyperlink w:anchor="_Toc141346988" w:history="1">
        <w:r w:rsidR="00085E4B" w:rsidRPr="00F75E1F">
          <w:rPr>
            <w:rStyle w:val="Hyperlink"/>
            <w:rFonts w:ascii="Arial" w:hAnsi="Arial" w:cs="Arial"/>
            <w:noProof/>
          </w:rPr>
          <w:t>3</w:t>
        </w:r>
        <w:r w:rsidR="00085E4B" w:rsidRPr="00F75E1F">
          <w:rPr>
            <w:rFonts w:eastAsiaTheme="minorEastAsia"/>
            <w:noProof/>
            <w:kern w:val="2"/>
            <w:sz w:val="22"/>
            <w:szCs w:val="22"/>
            <w14:ligatures w14:val="standardContextual"/>
          </w:rPr>
          <w:tab/>
        </w:r>
        <w:r w:rsidR="00085E4B" w:rsidRPr="00F75E1F">
          <w:rPr>
            <w:rStyle w:val="Hyperlink"/>
            <w:rFonts w:ascii="Arial" w:hAnsi="Arial" w:cs="Arial"/>
            <w:noProof/>
          </w:rPr>
          <w:t>Begutachtungsverfahren</w:t>
        </w:r>
        <w:r w:rsidR="00085E4B" w:rsidRPr="00F75E1F">
          <w:rPr>
            <w:noProof/>
            <w:webHidden/>
          </w:rPr>
          <w:tab/>
        </w:r>
        <w:r w:rsidR="00085E4B" w:rsidRPr="00F75E1F">
          <w:rPr>
            <w:noProof/>
            <w:webHidden/>
          </w:rPr>
          <w:fldChar w:fldCharType="begin"/>
        </w:r>
        <w:r w:rsidR="00085E4B" w:rsidRPr="00F75E1F">
          <w:rPr>
            <w:noProof/>
            <w:webHidden/>
          </w:rPr>
          <w:instrText xml:space="preserve"> PAGEREF _Toc141346988 \h </w:instrText>
        </w:r>
        <w:r w:rsidR="00085E4B" w:rsidRPr="00F75E1F">
          <w:rPr>
            <w:noProof/>
            <w:webHidden/>
          </w:rPr>
        </w:r>
        <w:r w:rsidR="00085E4B" w:rsidRPr="00F75E1F">
          <w:rPr>
            <w:noProof/>
            <w:webHidden/>
          </w:rPr>
          <w:fldChar w:fldCharType="separate"/>
        </w:r>
        <w:r w:rsidR="00F75E1F">
          <w:rPr>
            <w:noProof/>
            <w:webHidden/>
          </w:rPr>
          <w:t>31</w:t>
        </w:r>
        <w:r w:rsidR="00085E4B" w:rsidRPr="00F75E1F">
          <w:rPr>
            <w:noProof/>
            <w:webHidden/>
          </w:rPr>
          <w:fldChar w:fldCharType="end"/>
        </w:r>
      </w:hyperlink>
    </w:p>
    <w:p w14:paraId="15B4EA52" w14:textId="3B9D8821" w:rsidR="00085E4B" w:rsidRPr="00F75E1F" w:rsidRDefault="00663C63" w:rsidP="00F75E1F">
      <w:pPr>
        <w:pStyle w:val="Verzeichnis2"/>
        <w:tabs>
          <w:tab w:val="left" w:pos="880"/>
        </w:tabs>
        <w:spacing w:line="276" w:lineRule="auto"/>
        <w:rPr>
          <w:rFonts w:ascii="Arial" w:eastAsiaTheme="minorEastAsia" w:hAnsi="Arial" w:cs="Arial"/>
          <w:i w:val="0"/>
          <w:iCs w:val="0"/>
          <w:noProof/>
          <w:kern w:val="2"/>
          <w:sz w:val="22"/>
          <w:szCs w:val="22"/>
          <w14:ligatures w14:val="standardContextual"/>
        </w:rPr>
      </w:pPr>
      <w:hyperlink w:anchor="_Toc141346989" w:history="1">
        <w:r w:rsidR="00085E4B" w:rsidRPr="00F75E1F">
          <w:rPr>
            <w:rStyle w:val="Hyperlink"/>
            <w:rFonts w:ascii="Arial" w:hAnsi="Arial" w:cs="Arial"/>
            <w:noProof/>
          </w:rPr>
          <w:t>3.1</w:t>
        </w:r>
        <w:r w:rsidR="00085E4B" w:rsidRPr="00F75E1F">
          <w:rPr>
            <w:rFonts w:ascii="Arial" w:eastAsiaTheme="minorEastAsia" w:hAnsi="Arial" w:cs="Arial"/>
            <w:i w:val="0"/>
            <w:iCs w:val="0"/>
            <w:noProof/>
            <w:kern w:val="2"/>
            <w:sz w:val="22"/>
            <w:szCs w:val="22"/>
            <w14:ligatures w14:val="standardContextual"/>
          </w:rPr>
          <w:tab/>
        </w:r>
        <w:r w:rsidR="00085E4B" w:rsidRPr="00F75E1F">
          <w:rPr>
            <w:rStyle w:val="Hyperlink"/>
            <w:rFonts w:ascii="Arial" w:hAnsi="Arial" w:cs="Arial"/>
            <w:noProof/>
          </w:rPr>
          <w:t>Allgemeine Hinweise</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_Toc141346989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31</w:t>
        </w:r>
        <w:r w:rsidR="00085E4B" w:rsidRPr="00F75E1F">
          <w:rPr>
            <w:rFonts w:ascii="Arial" w:hAnsi="Arial" w:cs="Arial"/>
            <w:noProof/>
            <w:webHidden/>
          </w:rPr>
          <w:fldChar w:fldCharType="end"/>
        </w:r>
      </w:hyperlink>
    </w:p>
    <w:p w14:paraId="588E172A" w14:textId="45202EF2" w:rsidR="00085E4B" w:rsidRPr="00F75E1F" w:rsidRDefault="00663C63" w:rsidP="00F75E1F">
      <w:pPr>
        <w:pStyle w:val="Verzeichnis2"/>
        <w:tabs>
          <w:tab w:val="left" w:pos="880"/>
        </w:tabs>
        <w:spacing w:line="276" w:lineRule="auto"/>
        <w:rPr>
          <w:rFonts w:ascii="Arial" w:eastAsiaTheme="minorEastAsia" w:hAnsi="Arial" w:cs="Arial"/>
          <w:i w:val="0"/>
          <w:iCs w:val="0"/>
          <w:noProof/>
          <w:kern w:val="2"/>
          <w:sz w:val="22"/>
          <w:szCs w:val="22"/>
          <w14:ligatures w14:val="standardContextual"/>
        </w:rPr>
      </w:pPr>
      <w:hyperlink w:anchor="_Toc141346990" w:history="1">
        <w:r w:rsidR="00085E4B" w:rsidRPr="00F75E1F">
          <w:rPr>
            <w:rStyle w:val="Hyperlink"/>
            <w:rFonts w:ascii="Arial" w:hAnsi="Arial" w:cs="Arial"/>
            <w:noProof/>
          </w:rPr>
          <w:t>3.2</w:t>
        </w:r>
        <w:r w:rsidR="00085E4B" w:rsidRPr="00F75E1F">
          <w:rPr>
            <w:rFonts w:ascii="Arial" w:eastAsiaTheme="minorEastAsia" w:hAnsi="Arial" w:cs="Arial"/>
            <w:i w:val="0"/>
            <w:iCs w:val="0"/>
            <w:noProof/>
            <w:kern w:val="2"/>
            <w:sz w:val="22"/>
            <w:szCs w:val="22"/>
            <w14:ligatures w14:val="standardContextual"/>
          </w:rPr>
          <w:tab/>
        </w:r>
        <w:r w:rsidR="00085E4B" w:rsidRPr="00F75E1F">
          <w:rPr>
            <w:rStyle w:val="Hyperlink"/>
            <w:rFonts w:ascii="Arial" w:hAnsi="Arial" w:cs="Arial"/>
            <w:noProof/>
          </w:rPr>
          <w:t>Rechtliche Grundlagen</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_Toc141346990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31</w:t>
        </w:r>
        <w:r w:rsidR="00085E4B" w:rsidRPr="00F75E1F">
          <w:rPr>
            <w:rFonts w:ascii="Arial" w:hAnsi="Arial" w:cs="Arial"/>
            <w:noProof/>
            <w:webHidden/>
          </w:rPr>
          <w:fldChar w:fldCharType="end"/>
        </w:r>
      </w:hyperlink>
    </w:p>
    <w:p w14:paraId="5E1B9C1E" w14:textId="6A316697" w:rsidR="00085E4B" w:rsidRPr="00F75E1F" w:rsidRDefault="00663C63" w:rsidP="00F75E1F">
      <w:pPr>
        <w:pStyle w:val="Verzeichnis2"/>
        <w:tabs>
          <w:tab w:val="left" w:pos="880"/>
        </w:tabs>
        <w:spacing w:line="276" w:lineRule="auto"/>
        <w:rPr>
          <w:rFonts w:ascii="Arial" w:eastAsiaTheme="minorEastAsia" w:hAnsi="Arial" w:cs="Arial"/>
          <w:i w:val="0"/>
          <w:iCs w:val="0"/>
          <w:noProof/>
          <w:kern w:val="2"/>
          <w:sz w:val="22"/>
          <w:szCs w:val="22"/>
          <w14:ligatures w14:val="standardContextual"/>
        </w:rPr>
      </w:pPr>
      <w:hyperlink w:anchor="_Toc141346991" w:history="1">
        <w:r w:rsidR="00085E4B" w:rsidRPr="00F75E1F">
          <w:rPr>
            <w:rStyle w:val="Hyperlink"/>
            <w:rFonts w:ascii="Arial" w:hAnsi="Arial" w:cs="Arial"/>
            <w:noProof/>
          </w:rPr>
          <w:t>3.3</w:t>
        </w:r>
        <w:r w:rsidR="00085E4B" w:rsidRPr="00F75E1F">
          <w:rPr>
            <w:rFonts w:ascii="Arial" w:eastAsiaTheme="minorEastAsia" w:hAnsi="Arial" w:cs="Arial"/>
            <w:i w:val="0"/>
            <w:iCs w:val="0"/>
            <w:noProof/>
            <w:kern w:val="2"/>
            <w:sz w:val="22"/>
            <w:szCs w:val="22"/>
            <w14:ligatures w14:val="standardContextual"/>
          </w:rPr>
          <w:tab/>
        </w:r>
        <w:r w:rsidR="00085E4B" w:rsidRPr="00F75E1F">
          <w:rPr>
            <w:rStyle w:val="Hyperlink"/>
            <w:rFonts w:ascii="Arial" w:hAnsi="Arial" w:cs="Arial"/>
            <w:noProof/>
          </w:rPr>
          <w:t>Gutachter:innengremium</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_Toc141346991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31</w:t>
        </w:r>
        <w:r w:rsidR="00085E4B" w:rsidRPr="00F75E1F">
          <w:rPr>
            <w:rFonts w:ascii="Arial" w:hAnsi="Arial" w:cs="Arial"/>
            <w:noProof/>
            <w:webHidden/>
          </w:rPr>
          <w:fldChar w:fldCharType="end"/>
        </w:r>
      </w:hyperlink>
    </w:p>
    <w:p w14:paraId="64412062" w14:textId="05B5A138" w:rsidR="00085E4B" w:rsidRPr="00F75E1F" w:rsidRDefault="00663C63" w:rsidP="00F75E1F">
      <w:pPr>
        <w:pStyle w:val="Verzeichnis1"/>
        <w:rPr>
          <w:rFonts w:eastAsiaTheme="minorEastAsia"/>
          <w:noProof/>
          <w:kern w:val="2"/>
          <w:sz w:val="22"/>
          <w:szCs w:val="22"/>
          <w14:ligatures w14:val="standardContextual"/>
        </w:rPr>
      </w:pPr>
      <w:hyperlink w:anchor="_Toc141346992" w:history="1">
        <w:r w:rsidR="00085E4B" w:rsidRPr="00F75E1F">
          <w:rPr>
            <w:rStyle w:val="Hyperlink"/>
            <w:rFonts w:ascii="Arial" w:hAnsi="Arial" w:cs="Arial"/>
            <w:noProof/>
          </w:rPr>
          <w:t>4</w:t>
        </w:r>
        <w:r w:rsidR="00085E4B" w:rsidRPr="00F75E1F">
          <w:rPr>
            <w:rFonts w:eastAsiaTheme="minorEastAsia"/>
            <w:noProof/>
            <w:kern w:val="2"/>
            <w:sz w:val="22"/>
            <w:szCs w:val="22"/>
            <w14:ligatures w14:val="standardContextual"/>
          </w:rPr>
          <w:tab/>
        </w:r>
        <w:r w:rsidR="00085E4B" w:rsidRPr="00F75E1F">
          <w:rPr>
            <w:rStyle w:val="Hyperlink"/>
            <w:rFonts w:ascii="Arial" w:hAnsi="Arial" w:cs="Arial"/>
            <w:noProof/>
          </w:rPr>
          <w:t>Datenblatt</w:t>
        </w:r>
        <w:r w:rsidR="00085E4B" w:rsidRPr="00F75E1F">
          <w:rPr>
            <w:noProof/>
            <w:webHidden/>
          </w:rPr>
          <w:tab/>
        </w:r>
        <w:r w:rsidR="00085E4B" w:rsidRPr="00F75E1F">
          <w:rPr>
            <w:noProof/>
            <w:webHidden/>
          </w:rPr>
          <w:fldChar w:fldCharType="begin"/>
        </w:r>
        <w:r w:rsidR="00085E4B" w:rsidRPr="00F75E1F">
          <w:rPr>
            <w:noProof/>
            <w:webHidden/>
          </w:rPr>
          <w:instrText xml:space="preserve"> PAGEREF _Toc141346992 \h </w:instrText>
        </w:r>
        <w:r w:rsidR="00085E4B" w:rsidRPr="00F75E1F">
          <w:rPr>
            <w:noProof/>
            <w:webHidden/>
          </w:rPr>
        </w:r>
        <w:r w:rsidR="00085E4B" w:rsidRPr="00F75E1F">
          <w:rPr>
            <w:noProof/>
            <w:webHidden/>
          </w:rPr>
          <w:fldChar w:fldCharType="separate"/>
        </w:r>
        <w:r w:rsidR="00F75E1F">
          <w:rPr>
            <w:noProof/>
            <w:webHidden/>
          </w:rPr>
          <w:t>32</w:t>
        </w:r>
        <w:r w:rsidR="00085E4B" w:rsidRPr="00F75E1F">
          <w:rPr>
            <w:noProof/>
            <w:webHidden/>
          </w:rPr>
          <w:fldChar w:fldCharType="end"/>
        </w:r>
      </w:hyperlink>
    </w:p>
    <w:p w14:paraId="3184489D" w14:textId="77E71829" w:rsidR="00085E4B" w:rsidRPr="00F75E1F" w:rsidRDefault="00663C63" w:rsidP="00F75E1F">
      <w:pPr>
        <w:pStyle w:val="Verzeichnis2"/>
        <w:tabs>
          <w:tab w:val="left" w:pos="880"/>
        </w:tabs>
        <w:spacing w:line="276" w:lineRule="auto"/>
        <w:rPr>
          <w:rFonts w:ascii="Arial" w:eastAsiaTheme="minorEastAsia" w:hAnsi="Arial" w:cs="Arial"/>
          <w:i w:val="0"/>
          <w:iCs w:val="0"/>
          <w:noProof/>
          <w:kern w:val="2"/>
          <w:sz w:val="22"/>
          <w:szCs w:val="22"/>
          <w14:ligatures w14:val="standardContextual"/>
        </w:rPr>
      </w:pPr>
      <w:hyperlink w:anchor="_Toc141346993" w:history="1">
        <w:r w:rsidR="00085E4B" w:rsidRPr="00F75E1F">
          <w:rPr>
            <w:rStyle w:val="Hyperlink"/>
            <w:rFonts w:ascii="Arial" w:hAnsi="Arial" w:cs="Arial"/>
            <w:noProof/>
          </w:rPr>
          <w:t>4.1</w:t>
        </w:r>
        <w:r w:rsidR="00085E4B" w:rsidRPr="00F75E1F">
          <w:rPr>
            <w:rFonts w:ascii="Arial" w:eastAsiaTheme="minorEastAsia" w:hAnsi="Arial" w:cs="Arial"/>
            <w:i w:val="0"/>
            <w:iCs w:val="0"/>
            <w:noProof/>
            <w:kern w:val="2"/>
            <w:sz w:val="22"/>
            <w:szCs w:val="22"/>
            <w14:ligatures w14:val="standardContextual"/>
          </w:rPr>
          <w:tab/>
        </w:r>
        <w:r w:rsidR="00085E4B" w:rsidRPr="00F75E1F">
          <w:rPr>
            <w:rStyle w:val="Hyperlink"/>
            <w:rFonts w:ascii="Arial" w:hAnsi="Arial" w:cs="Arial"/>
            <w:noProof/>
          </w:rPr>
          <w:t>Daten zum Studiengang</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_Toc141346993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32</w:t>
        </w:r>
        <w:r w:rsidR="00085E4B" w:rsidRPr="00F75E1F">
          <w:rPr>
            <w:rFonts w:ascii="Arial" w:hAnsi="Arial" w:cs="Arial"/>
            <w:noProof/>
            <w:webHidden/>
          </w:rPr>
          <w:fldChar w:fldCharType="end"/>
        </w:r>
      </w:hyperlink>
    </w:p>
    <w:p w14:paraId="3AE26FEC" w14:textId="51B956C7" w:rsidR="00085E4B" w:rsidRPr="00F75E1F" w:rsidRDefault="00663C63" w:rsidP="00F75E1F">
      <w:pPr>
        <w:pStyle w:val="Verzeichnis2"/>
        <w:tabs>
          <w:tab w:val="left" w:pos="880"/>
        </w:tabs>
        <w:spacing w:line="276" w:lineRule="auto"/>
        <w:rPr>
          <w:rFonts w:ascii="Arial" w:eastAsiaTheme="minorEastAsia" w:hAnsi="Arial" w:cs="Arial"/>
          <w:i w:val="0"/>
          <w:iCs w:val="0"/>
          <w:noProof/>
          <w:kern w:val="2"/>
          <w:sz w:val="22"/>
          <w:szCs w:val="22"/>
          <w14:ligatures w14:val="standardContextual"/>
        </w:rPr>
      </w:pPr>
      <w:hyperlink w:anchor="_Toc141346994" w:history="1">
        <w:r w:rsidR="00085E4B" w:rsidRPr="00F75E1F">
          <w:rPr>
            <w:rStyle w:val="Hyperlink"/>
            <w:rFonts w:ascii="Arial" w:hAnsi="Arial" w:cs="Arial"/>
            <w:noProof/>
          </w:rPr>
          <w:t>4.2</w:t>
        </w:r>
        <w:r w:rsidR="00085E4B" w:rsidRPr="00F75E1F">
          <w:rPr>
            <w:rFonts w:ascii="Arial" w:eastAsiaTheme="minorEastAsia" w:hAnsi="Arial" w:cs="Arial"/>
            <w:i w:val="0"/>
            <w:iCs w:val="0"/>
            <w:noProof/>
            <w:kern w:val="2"/>
            <w:sz w:val="22"/>
            <w:szCs w:val="22"/>
            <w14:ligatures w14:val="standardContextual"/>
          </w:rPr>
          <w:tab/>
        </w:r>
        <w:r w:rsidR="00085E4B" w:rsidRPr="00F75E1F">
          <w:rPr>
            <w:rStyle w:val="Hyperlink"/>
            <w:rFonts w:ascii="Arial" w:hAnsi="Arial" w:cs="Arial"/>
            <w:noProof/>
          </w:rPr>
          <w:t>Daten zur Akkreditierung</w:t>
        </w:r>
        <w:r w:rsidR="00085E4B" w:rsidRPr="00F75E1F">
          <w:rPr>
            <w:rFonts w:ascii="Arial" w:hAnsi="Arial" w:cs="Arial"/>
            <w:noProof/>
            <w:webHidden/>
          </w:rPr>
          <w:tab/>
        </w:r>
        <w:r w:rsidR="00085E4B" w:rsidRPr="00F75E1F">
          <w:rPr>
            <w:rFonts w:ascii="Arial" w:hAnsi="Arial" w:cs="Arial"/>
            <w:noProof/>
            <w:webHidden/>
          </w:rPr>
          <w:fldChar w:fldCharType="begin"/>
        </w:r>
        <w:r w:rsidR="00085E4B" w:rsidRPr="00F75E1F">
          <w:rPr>
            <w:rFonts w:ascii="Arial" w:hAnsi="Arial" w:cs="Arial"/>
            <w:noProof/>
            <w:webHidden/>
          </w:rPr>
          <w:instrText xml:space="preserve"> PAGEREF _Toc141346994 \h </w:instrText>
        </w:r>
        <w:r w:rsidR="00085E4B" w:rsidRPr="00F75E1F">
          <w:rPr>
            <w:rFonts w:ascii="Arial" w:hAnsi="Arial" w:cs="Arial"/>
            <w:noProof/>
            <w:webHidden/>
          </w:rPr>
        </w:r>
        <w:r w:rsidR="00085E4B" w:rsidRPr="00F75E1F">
          <w:rPr>
            <w:rFonts w:ascii="Arial" w:hAnsi="Arial" w:cs="Arial"/>
            <w:noProof/>
            <w:webHidden/>
          </w:rPr>
          <w:fldChar w:fldCharType="separate"/>
        </w:r>
        <w:r w:rsidR="00F75E1F">
          <w:rPr>
            <w:rFonts w:ascii="Arial" w:hAnsi="Arial" w:cs="Arial"/>
            <w:noProof/>
            <w:webHidden/>
          </w:rPr>
          <w:t>34</w:t>
        </w:r>
        <w:r w:rsidR="00085E4B" w:rsidRPr="00F75E1F">
          <w:rPr>
            <w:rFonts w:ascii="Arial" w:hAnsi="Arial" w:cs="Arial"/>
            <w:noProof/>
            <w:webHidden/>
          </w:rPr>
          <w:fldChar w:fldCharType="end"/>
        </w:r>
      </w:hyperlink>
    </w:p>
    <w:p w14:paraId="58EFD490" w14:textId="7F64E8F9" w:rsidR="00877A39" w:rsidRPr="00F75E1F" w:rsidRDefault="00877A39" w:rsidP="00F75E1F">
      <w:pPr>
        <w:spacing w:before="0" w:line="276" w:lineRule="auto"/>
        <w:jc w:val="left"/>
        <w:rPr>
          <w:rFonts w:cs="Arial"/>
        </w:rPr>
      </w:pPr>
      <w:r w:rsidRPr="00F75E1F">
        <w:rPr>
          <w:rFonts w:cs="Arial"/>
          <w:sz w:val="18"/>
          <w:szCs w:val="18"/>
        </w:rPr>
        <w:fldChar w:fldCharType="end"/>
      </w:r>
      <w:r w:rsidRPr="00A3772C">
        <w:br w:type="page"/>
      </w:r>
    </w:p>
    <w:p w14:paraId="62F6F4D5" w14:textId="0C66A5B5" w:rsidR="00F749CF" w:rsidRPr="00B30A06" w:rsidRDefault="00F749CF" w:rsidP="00CC2409">
      <w:pPr>
        <w:pStyle w:val="berschrift2"/>
        <w:numPr>
          <w:ilvl w:val="0"/>
          <w:numId w:val="0"/>
        </w:numPr>
        <w:spacing w:after="240"/>
        <w:ind w:left="567" w:hanging="567"/>
      </w:pPr>
      <w:bookmarkStart w:id="2" w:name="_Toc141346962"/>
      <w:r w:rsidRPr="00B30A06">
        <w:lastRenderedPageBreak/>
        <w:t>Ergebnisse auf einen Blick</w:t>
      </w:r>
      <w:bookmarkEnd w:id="2"/>
    </w:p>
    <w:p w14:paraId="371B83D1" w14:textId="5BF9B9C3" w:rsidR="00F749CF" w:rsidRPr="00B30A06" w:rsidRDefault="00F749CF" w:rsidP="000E504B">
      <w:pPr>
        <w:spacing w:before="0" w:after="120" w:line="240" w:lineRule="auto"/>
        <w:rPr>
          <w:rFonts w:cs="Arial"/>
          <w:b/>
          <w:szCs w:val="22"/>
        </w:rPr>
      </w:pPr>
      <w:r w:rsidRPr="00B30A06">
        <w:rPr>
          <w:rFonts w:cs="Arial"/>
          <w:b/>
          <w:szCs w:val="22"/>
        </w:rPr>
        <w:t xml:space="preserve">Entscheidungsvorschlag der Agentur zur Erfüllung der formalen Kriterien gemäß Prüfbericht (Ziffer </w:t>
      </w:r>
      <w:r w:rsidR="0084059E">
        <w:rPr>
          <w:rFonts w:cs="Arial"/>
          <w:b/>
          <w:szCs w:val="22"/>
        </w:rPr>
        <w:t>1</w:t>
      </w:r>
      <w:r w:rsidRPr="00B30A06">
        <w:rPr>
          <w:rFonts w:cs="Arial"/>
          <w:b/>
          <w:szCs w:val="22"/>
        </w:rPr>
        <w:t>)</w:t>
      </w:r>
    </w:p>
    <w:p w14:paraId="359CCD1B" w14:textId="77777777" w:rsidR="00F749CF" w:rsidRPr="00B30A06" w:rsidRDefault="00F749CF" w:rsidP="000E504B">
      <w:pPr>
        <w:spacing w:before="0" w:after="120" w:line="240" w:lineRule="auto"/>
        <w:rPr>
          <w:rFonts w:cs="Arial"/>
          <w:szCs w:val="22"/>
          <w:lang w:eastAsia="en-US"/>
        </w:rPr>
      </w:pPr>
      <w:r w:rsidRPr="00B30A06">
        <w:rPr>
          <w:rFonts w:cs="Arial"/>
          <w:szCs w:val="22"/>
          <w:lang w:eastAsia="en-US"/>
        </w:rPr>
        <w:t>Die formalen Kriterien sind</w:t>
      </w:r>
    </w:p>
    <w:p w14:paraId="5B755907" w14:textId="0931F2A1" w:rsidR="00F749CF" w:rsidRPr="00B30A06" w:rsidRDefault="00663C63" w:rsidP="000E504B">
      <w:pPr>
        <w:spacing w:before="0" w:after="120" w:line="240" w:lineRule="auto"/>
        <w:rPr>
          <w:rFonts w:cs="Arial"/>
          <w:szCs w:val="22"/>
          <w:lang w:eastAsia="en-US"/>
        </w:rPr>
      </w:pPr>
      <w:sdt>
        <w:sdtPr>
          <w:rPr>
            <w:rFonts w:cs="Arial"/>
            <w:szCs w:val="22"/>
            <w:lang w:eastAsia="en-US"/>
          </w:rPr>
          <w:id w:val="-2024621344"/>
          <w14:checkbox>
            <w14:checked w14:val="1"/>
            <w14:checkedState w14:val="2612" w14:font="MS Gothic"/>
            <w14:uncheckedState w14:val="2610" w14:font="MS Gothic"/>
          </w14:checkbox>
        </w:sdtPr>
        <w:sdtEndPr/>
        <w:sdtContent>
          <w:r w:rsidR="00B66CF8">
            <w:rPr>
              <w:rFonts w:ascii="MS Gothic" w:eastAsia="MS Gothic" w:hAnsi="MS Gothic" w:cs="Arial" w:hint="eastAsia"/>
              <w:szCs w:val="22"/>
              <w:lang w:eastAsia="en-US"/>
            </w:rPr>
            <w:t>☒</w:t>
          </w:r>
        </w:sdtContent>
      </w:sdt>
      <w:r w:rsidR="00F749CF" w:rsidRPr="00B30A06">
        <w:rPr>
          <w:rFonts w:cs="Arial"/>
          <w:szCs w:val="22"/>
          <w:lang w:eastAsia="en-US"/>
        </w:rPr>
        <w:t xml:space="preserve"> erfüllt</w:t>
      </w:r>
    </w:p>
    <w:p w14:paraId="3FE541AD" w14:textId="1720CA3C" w:rsidR="00F749CF" w:rsidRPr="00B30A06" w:rsidRDefault="00663C63" w:rsidP="000E504B">
      <w:pPr>
        <w:spacing w:before="0" w:after="120" w:line="240" w:lineRule="auto"/>
        <w:rPr>
          <w:rFonts w:cs="Arial"/>
          <w:szCs w:val="22"/>
          <w:lang w:eastAsia="en-US"/>
        </w:rPr>
      </w:pPr>
      <w:sdt>
        <w:sdtPr>
          <w:rPr>
            <w:rFonts w:cs="Arial"/>
            <w:szCs w:val="22"/>
            <w:lang w:eastAsia="en-US"/>
          </w:rPr>
          <w:id w:val="-29343359"/>
          <w14:checkbox>
            <w14:checked w14:val="0"/>
            <w14:checkedState w14:val="2612" w14:font="MS Gothic"/>
            <w14:uncheckedState w14:val="2610" w14:font="MS Gothic"/>
          </w14:checkbox>
        </w:sdtPr>
        <w:sdtEndPr/>
        <w:sdtContent>
          <w:r w:rsidR="00056ECF">
            <w:rPr>
              <w:rFonts w:ascii="MS Gothic" w:eastAsia="MS Gothic" w:hAnsi="MS Gothic" w:cs="Arial" w:hint="eastAsia"/>
              <w:szCs w:val="22"/>
              <w:lang w:eastAsia="en-US"/>
            </w:rPr>
            <w:t>☐</w:t>
          </w:r>
        </w:sdtContent>
      </w:sdt>
      <w:r w:rsidR="00F749CF" w:rsidRPr="00B30A06">
        <w:rPr>
          <w:rFonts w:cs="Arial"/>
          <w:szCs w:val="22"/>
          <w:lang w:eastAsia="en-US"/>
        </w:rPr>
        <w:t xml:space="preserve"> nicht erfüllt</w:t>
      </w:r>
    </w:p>
    <w:p w14:paraId="7F64E2B3" w14:textId="77777777" w:rsidR="00F749CF" w:rsidRPr="00B30A06" w:rsidRDefault="00F749CF" w:rsidP="000E504B">
      <w:pPr>
        <w:spacing w:before="0" w:after="120" w:line="240" w:lineRule="auto"/>
        <w:rPr>
          <w:rFonts w:cs="Arial"/>
          <w:szCs w:val="22"/>
          <w:lang w:eastAsia="en-US"/>
        </w:rPr>
      </w:pPr>
    </w:p>
    <w:p w14:paraId="5C59DADF" w14:textId="720E56B6" w:rsidR="00F749CF" w:rsidRDefault="00F749CF" w:rsidP="000E504B">
      <w:pPr>
        <w:spacing w:before="0" w:after="120" w:line="240" w:lineRule="auto"/>
        <w:rPr>
          <w:rFonts w:cs="Arial"/>
          <w:b/>
          <w:szCs w:val="22"/>
        </w:rPr>
      </w:pPr>
      <w:r w:rsidRPr="00B30A06">
        <w:rPr>
          <w:rFonts w:cs="Arial"/>
          <w:b/>
          <w:szCs w:val="22"/>
        </w:rPr>
        <w:t xml:space="preserve">Entscheidungsvorschlag des </w:t>
      </w:r>
      <w:proofErr w:type="spellStart"/>
      <w:r w:rsidRPr="00B30A06">
        <w:rPr>
          <w:rFonts w:cs="Arial"/>
          <w:b/>
          <w:szCs w:val="22"/>
        </w:rPr>
        <w:t>Gutachter</w:t>
      </w:r>
      <w:r w:rsidR="00CC75BD">
        <w:rPr>
          <w:rFonts w:cs="Arial"/>
          <w:b/>
          <w:szCs w:val="22"/>
        </w:rPr>
        <w:t>:innen</w:t>
      </w:r>
      <w:r w:rsidRPr="00B30A06">
        <w:rPr>
          <w:rFonts w:cs="Arial"/>
          <w:b/>
          <w:szCs w:val="22"/>
        </w:rPr>
        <w:t>gremiums</w:t>
      </w:r>
      <w:proofErr w:type="spellEnd"/>
      <w:r w:rsidRPr="00B30A06">
        <w:rPr>
          <w:rFonts w:cs="Arial"/>
          <w:b/>
          <w:szCs w:val="22"/>
        </w:rPr>
        <w:t xml:space="preserve"> zur Erfüllung der fachlich-inhaltlichen Kriterien gemäß Gutachten (Ziffer </w:t>
      </w:r>
      <w:r w:rsidR="0084059E">
        <w:rPr>
          <w:rFonts w:cs="Arial"/>
          <w:b/>
          <w:szCs w:val="22"/>
        </w:rPr>
        <w:t>2</w:t>
      </w:r>
      <w:r w:rsidRPr="00B30A06">
        <w:rPr>
          <w:rFonts w:cs="Arial"/>
          <w:b/>
          <w:szCs w:val="22"/>
        </w:rPr>
        <w:t>)</w:t>
      </w:r>
    </w:p>
    <w:p w14:paraId="7E2E81F0" w14:textId="77777777" w:rsidR="00F749CF" w:rsidRPr="00B30A06" w:rsidRDefault="00F749CF" w:rsidP="000E504B">
      <w:pPr>
        <w:spacing w:before="0" w:after="120" w:line="240" w:lineRule="auto"/>
        <w:rPr>
          <w:rFonts w:cs="Arial"/>
          <w:szCs w:val="22"/>
          <w:lang w:eastAsia="en-US"/>
        </w:rPr>
      </w:pPr>
      <w:r w:rsidRPr="00B30A06">
        <w:rPr>
          <w:rFonts w:cs="Arial"/>
          <w:szCs w:val="22"/>
          <w:lang w:eastAsia="en-US"/>
        </w:rPr>
        <w:t>Die fachlich-inhaltlichen Kriterien sind</w:t>
      </w:r>
    </w:p>
    <w:p w14:paraId="593BC7BA" w14:textId="13DFDA05" w:rsidR="00F749CF" w:rsidRPr="00B30A06" w:rsidRDefault="00663C63" w:rsidP="000E504B">
      <w:pPr>
        <w:spacing w:before="0" w:after="120" w:line="240" w:lineRule="auto"/>
        <w:rPr>
          <w:rFonts w:cs="Arial"/>
          <w:szCs w:val="22"/>
          <w:lang w:eastAsia="en-US"/>
        </w:rPr>
      </w:pPr>
      <w:sdt>
        <w:sdtPr>
          <w:rPr>
            <w:rFonts w:cs="Arial"/>
            <w:szCs w:val="22"/>
            <w:lang w:eastAsia="en-US"/>
          </w:rPr>
          <w:id w:val="-888792931"/>
          <w14:checkbox>
            <w14:checked w14:val="1"/>
            <w14:checkedState w14:val="2612" w14:font="MS Gothic"/>
            <w14:uncheckedState w14:val="2610" w14:font="MS Gothic"/>
          </w14:checkbox>
        </w:sdtPr>
        <w:sdtEndPr/>
        <w:sdtContent>
          <w:r w:rsidR="00B66CF8">
            <w:rPr>
              <w:rFonts w:ascii="MS Gothic" w:eastAsia="MS Gothic" w:hAnsi="MS Gothic" w:cs="Arial" w:hint="eastAsia"/>
              <w:szCs w:val="22"/>
              <w:lang w:eastAsia="en-US"/>
            </w:rPr>
            <w:t>☒</w:t>
          </w:r>
        </w:sdtContent>
      </w:sdt>
      <w:r w:rsidR="00F749CF" w:rsidRPr="00B30A06">
        <w:rPr>
          <w:rFonts w:cs="Arial"/>
          <w:szCs w:val="22"/>
          <w:lang w:eastAsia="en-US"/>
        </w:rPr>
        <w:t xml:space="preserve"> erfüllt</w:t>
      </w:r>
    </w:p>
    <w:p w14:paraId="656A0801" w14:textId="6BEE8930" w:rsidR="00F749CF" w:rsidRPr="00B30A06" w:rsidRDefault="00663C63" w:rsidP="000E504B">
      <w:pPr>
        <w:spacing w:before="0" w:after="120" w:line="240" w:lineRule="auto"/>
        <w:rPr>
          <w:rFonts w:cs="Arial"/>
          <w:szCs w:val="22"/>
          <w:lang w:eastAsia="en-US"/>
        </w:rPr>
      </w:pPr>
      <w:sdt>
        <w:sdtPr>
          <w:rPr>
            <w:rFonts w:cs="Arial"/>
            <w:szCs w:val="22"/>
            <w:lang w:eastAsia="en-US"/>
          </w:rPr>
          <w:id w:val="1127896991"/>
          <w14:checkbox>
            <w14:checked w14:val="0"/>
            <w14:checkedState w14:val="2612" w14:font="MS Gothic"/>
            <w14:uncheckedState w14:val="2610" w14:font="MS Gothic"/>
          </w14:checkbox>
        </w:sdtPr>
        <w:sdtEndPr/>
        <w:sdtContent>
          <w:r w:rsidR="00B30A06" w:rsidRPr="00B30A06">
            <w:rPr>
              <w:rFonts w:ascii="Segoe UI Symbol" w:eastAsia="MS Gothic" w:hAnsi="Segoe UI Symbol" w:cs="Segoe UI Symbol"/>
              <w:szCs w:val="22"/>
              <w:lang w:eastAsia="en-US"/>
            </w:rPr>
            <w:t>☐</w:t>
          </w:r>
        </w:sdtContent>
      </w:sdt>
      <w:r w:rsidR="00F749CF" w:rsidRPr="00B30A06">
        <w:rPr>
          <w:rFonts w:cs="Arial"/>
          <w:szCs w:val="22"/>
          <w:lang w:eastAsia="en-US"/>
        </w:rPr>
        <w:t xml:space="preserve"> nicht erfüllt</w:t>
      </w:r>
    </w:p>
    <w:p w14:paraId="6B708921" w14:textId="77777777" w:rsidR="00F749CF" w:rsidRPr="00B30A06" w:rsidRDefault="00F749CF" w:rsidP="000E504B">
      <w:pPr>
        <w:spacing w:before="0" w:after="120" w:line="240" w:lineRule="auto"/>
        <w:rPr>
          <w:rFonts w:cs="Arial"/>
          <w:szCs w:val="22"/>
          <w:lang w:eastAsia="en-US"/>
        </w:rPr>
      </w:pPr>
    </w:p>
    <w:p w14:paraId="7B751D11" w14:textId="7176897E" w:rsidR="00F749CF" w:rsidRPr="00B30A06" w:rsidRDefault="00F749CF" w:rsidP="000E504B">
      <w:pPr>
        <w:spacing w:line="240" w:lineRule="auto"/>
        <w:rPr>
          <w:rFonts w:cs="Arial"/>
          <w:szCs w:val="22"/>
        </w:rPr>
      </w:pPr>
      <w:r w:rsidRPr="00B30A06">
        <w:rPr>
          <w:rFonts w:cs="Arial"/>
          <w:szCs w:val="22"/>
        </w:rPr>
        <w:br w:type="page"/>
      </w:r>
    </w:p>
    <w:p w14:paraId="4592CB3F" w14:textId="77777777" w:rsidR="00056886" w:rsidRPr="0063097C" w:rsidRDefault="00056886" w:rsidP="00CC2409">
      <w:pPr>
        <w:pStyle w:val="berschrift2"/>
        <w:numPr>
          <w:ilvl w:val="0"/>
          <w:numId w:val="0"/>
        </w:numPr>
        <w:spacing w:before="0" w:after="120"/>
        <w:ind w:left="567" w:hanging="567"/>
      </w:pPr>
      <w:bookmarkStart w:id="3" w:name="_Toc141346963"/>
      <w:r w:rsidRPr="0063097C">
        <w:lastRenderedPageBreak/>
        <w:t>Kurzprofil des Studiengangs</w:t>
      </w:r>
      <w:bookmarkEnd w:id="3"/>
    </w:p>
    <w:p w14:paraId="02132C3E" w14:textId="2E0601AD" w:rsidR="0059579D" w:rsidRPr="0063097C" w:rsidRDefault="0059579D" w:rsidP="0063097C">
      <w:pPr>
        <w:rPr>
          <w:szCs w:val="22"/>
        </w:rPr>
      </w:pPr>
      <w:bookmarkStart w:id="4" w:name="_Hlk35861151"/>
      <w:r w:rsidRPr="0063097C">
        <w:rPr>
          <w:szCs w:val="22"/>
        </w:rPr>
        <w:t>Der Masterstudiengang „Psychologie mit Schwerpunkt Klinische Psychologie und Psychotherapie“ wird seit 201</w:t>
      </w:r>
      <w:r w:rsidR="00344277">
        <w:rPr>
          <w:szCs w:val="22"/>
        </w:rPr>
        <w:t>1</w:t>
      </w:r>
      <w:r w:rsidRPr="0063097C">
        <w:rPr>
          <w:szCs w:val="22"/>
        </w:rPr>
        <w:t xml:space="preserve"> an der MSH Medical School Hamburg</w:t>
      </w:r>
      <w:r w:rsidR="00BD249F">
        <w:rPr>
          <w:szCs w:val="22"/>
        </w:rPr>
        <w:t xml:space="preserve"> – </w:t>
      </w:r>
      <w:r w:rsidRPr="0063097C">
        <w:rPr>
          <w:szCs w:val="22"/>
        </w:rPr>
        <w:t xml:space="preserve">University of Applied Sciences and </w:t>
      </w:r>
      <w:r w:rsidRPr="0063097C">
        <w:rPr>
          <w:szCs w:val="22"/>
        </w:rPr>
        <w:t xml:space="preserve">Medical University (MSH) angeboten. </w:t>
      </w:r>
      <w:r w:rsidR="00663C63">
        <w:rPr>
          <w:szCs w:val="22"/>
        </w:rPr>
        <w:t xml:space="preserve">Der Studiengang ist an der Fakultät Humanwissenschaften angesiedelt. </w:t>
      </w:r>
      <w:r w:rsidRPr="0063097C">
        <w:rPr>
          <w:szCs w:val="22"/>
        </w:rPr>
        <w:t xml:space="preserve">Die Fakultät Humanwissenschaften besteht aus dem Department Pädagogik und dem Department Psychologie und hat den Status einer wissenschaftlichen Hochschule. Sie ist somit einer Universität gleichgestellt. </w:t>
      </w:r>
    </w:p>
    <w:p w14:paraId="3494ECAA" w14:textId="518C09AA" w:rsidR="0059579D" w:rsidRPr="0063097C" w:rsidRDefault="0059579D" w:rsidP="0063097C">
      <w:pPr>
        <w:rPr>
          <w:szCs w:val="22"/>
        </w:rPr>
      </w:pPr>
      <w:r w:rsidRPr="0063097C">
        <w:rPr>
          <w:szCs w:val="22"/>
        </w:rPr>
        <w:t xml:space="preserve">Dem Department Psychologie sind der polyvalente Bachelorstudiengang „Psychologie“ (B.Sc.) sowie der Masterstudiengang „Psychologie mit Schwerpunkt Klinische Psychologie und Psychotherapie (nach PsychThG 2019)“ (M.Sc.), der Masterstudiengang „Psychologie mit Schwerpunkt Klinische Psychologie und Psychotherapie (M.Sc.)“, der Masterstudiengang „Psychologie mit Schwerpunkt Rechtspsychologie“ (M.Sc.) und der Masterstudiengang „Arbeits- und Organisationspsychologie“ (M.Sc.) zugeordnet. </w:t>
      </w:r>
    </w:p>
    <w:p w14:paraId="136753E4" w14:textId="77777777" w:rsidR="00085E4B" w:rsidRPr="0063097C" w:rsidRDefault="00085E4B" w:rsidP="00085E4B">
      <w:pPr>
        <w:rPr>
          <w:szCs w:val="22"/>
        </w:rPr>
      </w:pPr>
      <w:r w:rsidRPr="0063097C">
        <w:rPr>
          <w:szCs w:val="22"/>
        </w:rPr>
        <w:t xml:space="preserve">Die MSH hat vom Berufsverband Deutscher </w:t>
      </w:r>
      <w:proofErr w:type="spellStart"/>
      <w:r w:rsidRPr="0063097C">
        <w:rPr>
          <w:szCs w:val="22"/>
        </w:rPr>
        <w:t>Psycholog:innen</w:t>
      </w:r>
      <w:proofErr w:type="spellEnd"/>
      <w:r w:rsidRPr="0063097C">
        <w:rPr>
          <w:szCs w:val="22"/>
        </w:rPr>
        <w:t xml:space="preserve"> die Anerkennung im Hinblick auf eine BDP-Mitgliedschaft für den Masterstudiengang „Psychologie mit Schwerpunkt Klinische Psychologie und Psychotherapie“ erhalten. Die Hochschule ist außerdem Mitglied im Fakultätentag Psychologie und trägt das Qualitätssiegel der Deutschen Gesellschaft für Psychologie (DGPs) für den Bachelorstudiengang „Psychologie“. </w:t>
      </w:r>
    </w:p>
    <w:p w14:paraId="24A8FC7B" w14:textId="063CBAFD" w:rsidR="00085E4B" w:rsidRPr="0063097C" w:rsidRDefault="0059579D" w:rsidP="00085E4B">
      <w:r w:rsidRPr="0063097C">
        <w:t xml:space="preserve">Der Masterstudiengang </w:t>
      </w:r>
      <w:r w:rsidR="0063097C" w:rsidRPr="0063097C">
        <w:t>„</w:t>
      </w:r>
      <w:r w:rsidRPr="0063097C">
        <w:t>Psychologie mit Schwerpunkt Klinische Psychologie und Psychotherapie</w:t>
      </w:r>
      <w:r w:rsidR="0063097C" w:rsidRPr="0063097C">
        <w:t>“</w:t>
      </w:r>
      <w:r w:rsidRPr="0063097C">
        <w:t xml:space="preserve"> kombiniert Inhalte aus den Bereichen psychologische Grundlagen, psychische Störungen, psychotherapeutische Interventionen und Gesundheitsmanagement mit einer Orientierung an wissenschaftlicher Fundierung und praktischer Relevanz. Die allgemeine Zielsetzung des Masterstudiengangs besteht in der Befähigung der Studierenden, nach Abschluss über eine bestmögliche Kompetenz für eines der Praxisfelder der Klinischen Psychologie und Psychotherapie zu verfügen. Das impliziert – zusammen mit einem entsprechenden Bachelor in Psychologie – auch Kompetenzen, die für den Einstieg in die psychotherapeutische Ausbildung erforderlich sind. Der Masterstudiengang richtet sich an </w:t>
      </w:r>
      <w:r w:rsidR="00CA15C3" w:rsidRPr="0063097C">
        <w:t>Absolv</w:t>
      </w:r>
      <w:r w:rsidR="00CA15C3">
        <w:t>ent:innen</w:t>
      </w:r>
      <w:r w:rsidRPr="0063097C">
        <w:t xml:space="preserve">, die ein Bachelorstudium der </w:t>
      </w:r>
      <w:r w:rsidR="0063097C" w:rsidRPr="0063097C">
        <w:t>„</w:t>
      </w:r>
      <w:r w:rsidRPr="0063097C">
        <w:t>Psychologie</w:t>
      </w:r>
      <w:r w:rsidR="0063097C" w:rsidRPr="0063097C">
        <w:t>“</w:t>
      </w:r>
      <w:r w:rsidRPr="0063097C">
        <w:t xml:space="preserve"> erfolgreich abgeschlossen haben. </w:t>
      </w:r>
      <w:r w:rsidR="00085E4B" w:rsidRPr="0063097C">
        <w:t xml:space="preserve">Der Masterstudiengang „Psychologie mit Schwerpunkt Klinische Psychologie und Psychotherapie“ ermöglicht Studierenden, die vor dem 01.09.2020 ein Bachelorstudium der „Psychologie“ begonnen haben, im Rahmen der gesetzlichen Übergangsfrist den alten Qualifikationsweg zur Approbation als Psychotherapeut:in, nach altem </w:t>
      </w:r>
      <w:r w:rsidR="00AC7EEE" w:rsidRPr="00C63129">
        <w:rPr>
          <w:rFonts w:cs="Arial"/>
          <w:iCs/>
        </w:rPr>
        <w:t>PsychThG</w:t>
      </w:r>
      <w:r w:rsidR="00085E4B" w:rsidRPr="0063097C">
        <w:t>.</w:t>
      </w:r>
    </w:p>
    <w:p w14:paraId="36F4DBDB" w14:textId="3D52EFF7" w:rsidR="001642FF" w:rsidRDefault="001642FF" w:rsidP="00085E4B">
      <w:pPr>
        <w:rPr>
          <w:rFonts w:cs="Arial"/>
        </w:rPr>
      </w:pPr>
      <w:r w:rsidRPr="001642FF">
        <w:rPr>
          <w:rFonts w:cs="Arial"/>
        </w:rPr>
        <w:t xml:space="preserve">Der </w:t>
      </w:r>
      <w:r w:rsidR="00085E4B">
        <w:rPr>
          <w:rFonts w:cs="Arial"/>
        </w:rPr>
        <w:t xml:space="preserve">Masterstudiengang </w:t>
      </w:r>
      <w:r w:rsidRPr="001642FF">
        <w:rPr>
          <w:rFonts w:cs="Arial"/>
        </w:rPr>
        <w:t xml:space="preserve">umfasst </w:t>
      </w:r>
      <w:r w:rsidR="0063097C">
        <w:rPr>
          <w:rFonts w:cs="Arial"/>
        </w:rPr>
        <w:t>120</w:t>
      </w:r>
      <w:r w:rsidRPr="001642FF">
        <w:rPr>
          <w:rFonts w:cs="Arial"/>
        </w:rPr>
        <w:t xml:space="preserve"> Credit Points (CP) nach dem European Credit Transfer System </w:t>
      </w:r>
      <w:r w:rsidRPr="0063097C">
        <w:rPr>
          <w:rFonts w:cs="Arial"/>
        </w:rPr>
        <w:t xml:space="preserve">(ECTS), wobei ein CP einem Workload von </w:t>
      </w:r>
      <w:r w:rsidR="0063097C" w:rsidRPr="0063097C">
        <w:rPr>
          <w:rFonts w:cs="Arial"/>
        </w:rPr>
        <w:t>30</w:t>
      </w:r>
      <w:r w:rsidRPr="0063097C">
        <w:rPr>
          <w:rFonts w:cs="Arial"/>
        </w:rPr>
        <w:t xml:space="preserve"> Stunden entspricht. Der gesamte Workload beträgt</w:t>
      </w:r>
      <w:r w:rsidRPr="001642FF">
        <w:rPr>
          <w:rFonts w:cs="Arial"/>
        </w:rPr>
        <w:t xml:space="preserve"> </w:t>
      </w:r>
      <w:r w:rsidR="0063097C" w:rsidRPr="0063097C">
        <w:rPr>
          <w:rFonts w:cs="Arial"/>
        </w:rPr>
        <w:t>3.600</w:t>
      </w:r>
      <w:r w:rsidRPr="0063097C">
        <w:rPr>
          <w:rFonts w:cs="Arial"/>
        </w:rPr>
        <w:t xml:space="preserve"> Stunden. Er gliedert sich in </w:t>
      </w:r>
      <w:r w:rsidR="0063097C" w:rsidRPr="0063097C">
        <w:rPr>
          <w:rFonts w:cs="Arial"/>
        </w:rPr>
        <w:t>1.230</w:t>
      </w:r>
      <w:r w:rsidRPr="0063097C">
        <w:rPr>
          <w:rFonts w:cs="Arial"/>
        </w:rPr>
        <w:t xml:space="preserve"> Stunden Präsenzstudium und </w:t>
      </w:r>
      <w:r w:rsidR="0063097C" w:rsidRPr="0063097C">
        <w:rPr>
          <w:rFonts w:cs="Arial"/>
        </w:rPr>
        <w:t>2.370</w:t>
      </w:r>
      <w:r w:rsidRPr="0063097C">
        <w:rPr>
          <w:rFonts w:cs="Arial"/>
        </w:rPr>
        <w:t xml:space="preserve"> Stunden </w:t>
      </w:r>
      <w:r w:rsidRPr="0063097C">
        <w:rPr>
          <w:rFonts w:cs="Arial"/>
        </w:rPr>
        <w:lastRenderedPageBreak/>
        <w:t>Selbststudium. Der Studiengang ist in</w:t>
      </w:r>
      <w:r w:rsidR="005E5C1C">
        <w:rPr>
          <w:rFonts w:cs="Arial"/>
        </w:rPr>
        <w:t xml:space="preserve"> 17</w:t>
      </w:r>
      <w:r w:rsidRPr="0063097C">
        <w:rPr>
          <w:rFonts w:cs="Arial"/>
        </w:rPr>
        <w:t xml:space="preserve"> Module gegliedert, </w:t>
      </w:r>
      <w:r w:rsidR="0063097C" w:rsidRPr="0063097C">
        <w:rPr>
          <w:rFonts w:cs="Arial"/>
        </w:rPr>
        <w:t>die alle</w:t>
      </w:r>
      <w:r w:rsidRPr="0063097C">
        <w:rPr>
          <w:rFonts w:cs="Arial"/>
        </w:rPr>
        <w:t xml:space="preserve"> erfolgreich absolviert werden müssen.</w:t>
      </w:r>
      <w:r w:rsidR="005E2769" w:rsidRPr="0063097C">
        <w:rPr>
          <w:rFonts w:cs="Arial"/>
        </w:rPr>
        <w:t xml:space="preserve"> Die Regelstudienzeit beträgt </w:t>
      </w:r>
      <w:r w:rsidR="0063097C" w:rsidRPr="0063097C">
        <w:rPr>
          <w:rFonts w:cs="Arial"/>
        </w:rPr>
        <w:t>vier</w:t>
      </w:r>
      <w:r w:rsidR="005E2769" w:rsidRPr="0063097C">
        <w:rPr>
          <w:rFonts w:cs="Arial"/>
        </w:rPr>
        <w:t xml:space="preserve"> Semester.</w:t>
      </w:r>
      <w:r w:rsidR="00F90E4C" w:rsidRPr="0063097C">
        <w:rPr>
          <w:rFonts w:cs="Arial"/>
        </w:rPr>
        <w:t xml:space="preserve"> </w:t>
      </w:r>
      <w:r w:rsidR="00F90E4C" w:rsidRPr="0063097C">
        <w:t xml:space="preserve">Das Studium wird mit dem Hochschulgrad </w:t>
      </w:r>
      <w:r w:rsidR="0063097C" w:rsidRPr="0063097C">
        <w:t>„Master of Science“ (M.Sc.)</w:t>
      </w:r>
      <w:r w:rsidR="00F90E4C" w:rsidRPr="0063097C">
        <w:t xml:space="preserve"> abgeschlossen.</w:t>
      </w:r>
      <w:r w:rsidRPr="0063097C">
        <w:rPr>
          <w:rFonts w:cs="Arial"/>
        </w:rPr>
        <w:t xml:space="preserve"> Zulassungsvoraussetzung/en für den Studiengang ist</w:t>
      </w:r>
      <w:r w:rsidR="0063097C" w:rsidRPr="0063097C">
        <w:rPr>
          <w:rFonts w:cs="Arial"/>
        </w:rPr>
        <w:t xml:space="preserve"> ein mit Erfolg abgeschlossenes einschlägiges Bachelorstudium der Psychologie (in der Regel Durchschnittsnote mindestens 2,5) mit mindestens 180 Credit Points.</w:t>
      </w:r>
      <w:r w:rsidRPr="0063097C">
        <w:rPr>
          <w:rFonts w:cs="Arial"/>
        </w:rPr>
        <w:t xml:space="preserve"> Es werden Studiengebühren erhoben.</w:t>
      </w:r>
    </w:p>
    <w:p w14:paraId="2099E29D" w14:textId="5F2DAEA4" w:rsidR="00267434" w:rsidRPr="00457100" w:rsidRDefault="00267434" w:rsidP="00CC2409">
      <w:pPr>
        <w:pStyle w:val="berschrift2"/>
        <w:numPr>
          <w:ilvl w:val="0"/>
          <w:numId w:val="0"/>
        </w:numPr>
        <w:spacing w:after="120"/>
        <w:ind w:left="567" w:hanging="567"/>
      </w:pPr>
      <w:bookmarkStart w:id="5" w:name="_Toc141346964"/>
      <w:bookmarkEnd w:id="4"/>
      <w:r w:rsidRPr="00457100">
        <w:t>Zusammenfassende Qualitätsbewertung</w:t>
      </w:r>
      <w:r w:rsidR="009E70E2" w:rsidRPr="00457100">
        <w:t xml:space="preserve"> des </w:t>
      </w:r>
      <w:proofErr w:type="spellStart"/>
      <w:r w:rsidR="009E70E2" w:rsidRPr="00457100">
        <w:t>Gutachter</w:t>
      </w:r>
      <w:r w:rsidR="003C4EFB">
        <w:t>:</w:t>
      </w:r>
      <w:r w:rsidR="00341B93">
        <w:t>innen</w:t>
      </w:r>
      <w:r w:rsidR="009E70E2" w:rsidRPr="00457100">
        <w:t>gremiums</w:t>
      </w:r>
      <w:bookmarkEnd w:id="5"/>
      <w:proofErr w:type="spellEnd"/>
    </w:p>
    <w:p w14:paraId="6FF31317" w14:textId="546824C4" w:rsidR="0014489D" w:rsidRDefault="00B742F4" w:rsidP="00D37190">
      <w:pPr>
        <w:spacing w:before="0" w:after="120"/>
        <w:rPr>
          <w:rFonts w:cs="Arial"/>
          <w:szCs w:val="22"/>
        </w:rPr>
      </w:pPr>
      <w:bookmarkStart w:id="6" w:name="_Hlk69289759"/>
      <w:r>
        <w:rPr>
          <w:rFonts w:cs="Arial"/>
          <w:szCs w:val="22"/>
        </w:rPr>
        <w:t xml:space="preserve">Die Gutachter:innen melden der Hochschule zurück, dass sie dank der </w:t>
      </w:r>
      <w:r w:rsidR="005678D9">
        <w:rPr>
          <w:rFonts w:cs="Arial"/>
          <w:szCs w:val="22"/>
        </w:rPr>
        <w:t>sorgfältig</w:t>
      </w:r>
      <w:r>
        <w:rPr>
          <w:rFonts w:cs="Arial"/>
          <w:szCs w:val="22"/>
        </w:rPr>
        <w:t xml:space="preserve"> aufbereiteten und informativen Unterlagen </w:t>
      </w:r>
      <w:r w:rsidR="005678D9">
        <w:rPr>
          <w:rFonts w:cs="Arial"/>
          <w:szCs w:val="22"/>
        </w:rPr>
        <w:t>sowie der</w:t>
      </w:r>
      <w:r>
        <w:rPr>
          <w:rFonts w:cs="Arial"/>
          <w:szCs w:val="22"/>
        </w:rPr>
        <w:t xml:space="preserve"> Gespräche vor Ort ein umfassendes Bild vo</w:t>
      </w:r>
      <w:r w:rsidR="00344277">
        <w:rPr>
          <w:rFonts w:cs="Arial"/>
          <w:szCs w:val="22"/>
        </w:rPr>
        <w:t>m</w:t>
      </w:r>
      <w:r>
        <w:rPr>
          <w:rFonts w:cs="Arial"/>
          <w:szCs w:val="22"/>
        </w:rPr>
        <w:t xml:space="preserve"> Studiengang </w:t>
      </w:r>
      <w:r w:rsidR="00344277">
        <w:rPr>
          <w:rFonts w:cs="Arial"/>
          <w:szCs w:val="22"/>
        </w:rPr>
        <w:t xml:space="preserve">und den </w:t>
      </w:r>
      <w:r>
        <w:rPr>
          <w:rFonts w:cs="Arial"/>
          <w:szCs w:val="22"/>
        </w:rPr>
        <w:t xml:space="preserve">Studienbedingungen </w:t>
      </w:r>
      <w:r w:rsidR="005678D9">
        <w:rPr>
          <w:rFonts w:cs="Arial"/>
          <w:szCs w:val="22"/>
        </w:rPr>
        <w:t>entwickeln</w:t>
      </w:r>
      <w:r>
        <w:rPr>
          <w:rFonts w:cs="Arial"/>
          <w:szCs w:val="22"/>
        </w:rPr>
        <w:t xml:space="preserve"> konnten. </w:t>
      </w:r>
    </w:p>
    <w:p w14:paraId="002F82B8" w14:textId="09A3FF03" w:rsidR="00D37190" w:rsidRDefault="0014489D" w:rsidP="00D37190">
      <w:pPr>
        <w:spacing w:before="0" w:after="120"/>
      </w:pPr>
      <w:r>
        <w:rPr>
          <w:rFonts w:cs="Arial"/>
          <w:szCs w:val="22"/>
        </w:rPr>
        <w:t xml:space="preserve">Bezogen auf die Hochschule, </w:t>
      </w:r>
      <w:r w:rsidR="00E12867">
        <w:rPr>
          <w:rFonts w:cs="Arial"/>
          <w:szCs w:val="22"/>
        </w:rPr>
        <w:t xml:space="preserve">die Fakultät, </w:t>
      </w:r>
      <w:r>
        <w:rPr>
          <w:rFonts w:cs="Arial"/>
          <w:szCs w:val="22"/>
        </w:rPr>
        <w:t xml:space="preserve">das Department und den Studiengang wird </w:t>
      </w:r>
      <w:r w:rsidR="00E12867">
        <w:rPr>
          <w:rFonts w:cs="Arial"/>
          <w:szCs w:val="22"/>
        </w:rPr>
        <w:t>eine</w:t>
      </w:r>
      <w:r w:rsidR="00B742F4">
        <w:rPr>
          <w:rFonts w:cs="Arial"/>
          <w:szCs w:val="22"/>
        </w:rPr>
        <w:t xml:space="preserve"> </w:t>
      </w:r>
      <w:r w:rsidR="005678D9">
        <w:rPr>
          <w:rFonts w:cs="Arial"/>
          <w:szCs w:val="22"/>
        </w:rPr>
        <w:t>Weiterentwicklung</w:t>
      </w:r>
      <w:r w:rsidR="00E12867" w:rsidRPr="00E12867">
        <w:rPr>
          <w:rFonts w:cs="Arial"/>
          <w:szCs w:val="22"/>
        </w:rPr>
        <w:t xml:space="preserve"> </w:t>
      </w:r>
      <w:r w:rsidR="00E12867">
        <w:rPr>
          <w:rFonts w:cs="Arial"/>
          <w:szCs w:val="22"/>
        </w:rPr>
        <w:t xml:space="preserve">in den vergangenen Jahren, insbesondere </w:t>
      </w:r>
      <w:r w:rsidR="005678D9">
        <w:rPr>
          <w:rFonts w:cs="Arial"/>
          <w:szCs w:val="22"/>
        </w:rPr>
        <w:t>der Rahmenbedingungen</w:t>
      </w:r>
      <w:r w:rsidR="00E12867">
        <w:rPr>
          <w:rFonts w:cs="Arial"/>
          <w:szCs w:val="22"/>
        </w:rPr>
        <w:t>,</w:t>
      </w:r>
      <w:r w:rsidR="00B742F4">
        <w:rPr>
          <w:rFonts w:cs="Arial"/>
          <w:szCs w:val="22"/>
        </w:rPr>
        <w:t xml:space="preserve"> </w:t>
      </w:r>
      <w:r>
        <w:rPr>
          <w:rFonts w:cs="Arial"/>
          <w:szCs w:val="22"/>
        </w:rPr>
        <w:t xml:space="preserve">positiv </w:t>
      </w:r>
      <w:r w:rsidR="00B742F4">
        <w:rPr>
          <w:rFonts w:cs="Arial"/>
          <w:szCs w:val="22"/>
        </w:rPr>
        <w:t>wahrgenommen. D</w:t>
      </w:r>
      <w:r w:rsidR="005678D9">
        <w:rPr>
          <w:rFonts w:cs="Arial"/>
          <w:szCs w:val="22"/>
        </w:rPr>
        <w:t>ies</w:t>
      </w:r>
      <w:r w:rsidR="00E12867">
        <w:rPr>
          <w:rFonts w:cs="Arial"/>
          <w:szCs w:val="22"/>
        </w:rPr>
        <w:t>e</w:t>
      </w:r>
      <w:r w:rsidR="005678D9">
        <w:rPr>
          <w:rFonts w:cs="Arial"/>
          <w:szCs w:val="22"/>
        </w:rPr>
        <w:t xml:space="preserve"> erstreck</w:t>
      </w:r>
      <w:r w:rsidR="00B63DF3">
        <w:rPr>
          <w:rFonts w:cs="Arial"/>
          <w:szCs w:val="22"/>
        </w:rPr>
        <w:t>en</w:t>
      </w:r>
      <w:r w:rsidR="005678D9">
        <w:rPr>
          <w:rFonts w:cs="Arial"/>
          <w:szCs w:val="22"/>
        </w:rPr>
        <w:t xml:space="preserve"> sich</w:t>
      </w:r>
      <w:r w:rsidR="00B742F4">
        <w:rPr>
          <w:rFonts w:cs="Arial"/>
          <w:szCs w:val="22"/>
        </w:rPr>
        <w:t xml:space="preserve"> </w:t>
      </w:r>
      <w:r w:rsidR="005678D9">
        <w:rPr>
          <w:rFonts w:cs="Arial"/>
          <w:szCs w:val="22"/>
        </w:rPr>
        <w:t>sowohl auf</w:t>
      </w:r>
      <w:r w:rsidR="00B742F4">
        <w:rPr>
          <w:rFonts w:cs="Arial"/>
          <w:szCs w:val="22"/>
        </w:rPr>
        <w:t xml:space="preserve"> die räumliche und sachliche Ausstattung </w:t>
      </w:r>
      <w:r w:rsidR="005678D9">
        <w:rPr>
          <w:rFonts w:cs="Arial"/>
          <w:szCs w:val="22"/>
        </w:rPr>
        <w:t xml:space="preserve">als auch auf die </w:t>
      </w:r>
      <w:r w:rsidR="005A78B8">
        <w:rPr>
          <w:rFonts w:cs="Arial"/>
          <w:szCs w:val="22"/>
        </w:rPr>
        <w:t xml:space="preserve">in den Studiengang </w:t>
      </w:r>
      <w:r w:rsidR="005678D9">
        <w:rPr>
          <w:rFonts w:cs="Arial"/>
          <w:szCs w:val="22"/>
        </w:rPr>
        <w:t>eingebundene fachliche Expertise</w:t>
      </w:r>
      <w:r w:rsidR="00B742F4">
        <w:rPr>
          <w:rFonts w:cs="Arial"/>
          <w:szCs w:val="22"/>
        </w:rPr>
        <w:t>.</w:t>
      </w:r>
      <w:r w:rsidR="005678D9">
        <w:rPr>
          <w:rFonts w:cs="Arial"/>
          <w:szCs w:val="22"/>
        </w:rPr>
        <w:t xml:space="preserve"> So sind inzwischen</w:t>
      </w:r>
      <w:r w:rsidR="005678D9" w:rsidRPr="005678D9">
        <w:rPr>
          <w:rFonts w:cs="Arial"/>
          <w:szCs w:val="22"/>
        </w:rPr>
        <w:t xml:space="preserve"> alle </w:t>
      </w:r>
      <w:r w:rsidR="00E12867">
        <w:rPr>
          <w:rFonts w:cs="Arial"/>
          <w:szCs w:val="22"/>
        </w:rPr>
        <w:t>im Studiengang vermittelte</w:t>
      </w:r>
      <w:r w:rsidR="002E1F07">
        <w:rPr>
          <w:rFonts w:cs="Arial"/>
          <w:szCs w:val="22"/>
        </w:rPr>
        <w:t>n</w:t>
      </w:r>
      <w:r w:rsidR="00E12867">
        <w:rPr>
          <w:rFonts w:cs="Arial"/>
          <w:szCs w:val="22"/>
        </w:rPr>
        <w:t xml:space="preserve"> </w:t>
      </w:r>
      <w:r w:rsidR="005678D9" w:rsidRPr="005678D9">
        <w:rPr>
          <w:rFonts w:cs="Arial"/>
          <w:szCs w:val="22"/>
        </w:rPr>
        <w:t>Therapieschulen auch personell an der Hochschule vertreten.</w:t>
      </w:r>
      <w:r w:rsidR="00B742F4">
        <w:rPr>
          <w:rFonts w:cs="Arial"/>
          <w:szCs w:val="22"/>
        </w:rPr>
        <w:t xml:space="preserve"> </w:t>
      </w:r>
      <w:r w:rsidR="005A78B8">
        <w:rPr>
          <w:rFonts w:cs="Arial"/>
          <w:szCs w:val="22"/>
        </w:rPr>
        <w:t xml:space="preserve">Auch die Forschungsbedingungen haben sich seit der ersten Akkreditierung deutlich verbessert. </w:t>
      </w:r>
      <w:r w:rsidR="005678D9">
        <w:t xml:space="preserve">Die allgemeine Stimmung im Department wird </w:t>
      </w:r>
      <w:r w:rsidR="005A78B8">
        <w:t xml:space="preserve">von den Gutachter:innen ebenfalls </w:t>
      </w:r>
      <w:r w:rsidR="005678D9">
        <w:t>als positiv wahrgenommen</w:t>
      </w:r>
      <w:r w:rsidR="00E12867">
        <w:t>.</w:t>
      </w:r>
      <w:r w:rsidR="005678D9">
        <w:t xml:space="preserve"> </w:t>
      </w:r>
      <w:r w:rsidR="00E12867">
        <w:t>S</w:t>
      </w:r>
      <w:r w:rsidR="005678D9">
        <w:t xml:space="preserve">owohl Lehrende als auch Studierende </w:t>
      </w:r>
      <w:r w:rsidR="005A78B8">
        <w:t xml:space="preserve">zeigen </w:t>
      </w:r>
      <w:r w:rsidR="005678D9">
        <w:t xml:space="preserve">eine starke Identifikation mit der Hochschule. </w:t>
      </w:r>
      <w:r w:rsidR="005A78B8">
        <w:t xml:space="preserve">Die Studierenden äußern sich sehr zufrieden und fühlen sich an der Hochschule gut betreut und aufgehoben. Gleichzeitig ist </w:t>
      </w:r>
      <w:r w:rsidR="00E12867">
        <w:t>die</w:t>
      </w:r>
      <w:r w:rsidR="005A78B8">
        <w:t xml:space="preserve"> hohe Bereitschaft </w:t>
      </w:r>
      <w:r w:rsidR="00E12867">
        <w:t xml:space="preserve">der Hochschule </w:t>
      </w:r>
      <w:r w:rsidR="005A78B8">
        <w:t xml:space="preserve">zur Veränderung spürbar, die als wesentliche Voraussetzung für </w:t>
      </w:r>
      <w:r w:rsidR="007B5092">
        <w:t xml:space="preserve">die Umsetzung von Innovationen </w:t>
      </w:r>
      <w:r w:rsidR="005A78B8">
        <w:t xml:space="preserve">betrachtet wird. Mitbestimmungsmöglichkeiten </w:t>
      </w:r>
      <w:r w:rsidR="00E12867">
        <w:t xml:space="preserve">für die Studierenden </w:t>
      </w:r>
      <w:r w:rsidR="005A78B8">
        <w:t xml:space="preserve">sind gegeben, </w:t>
      </w:r>
      <w:r w:rsidR="007B5092">
        <w:t xml:space="preserve">ihre </w:t>
      </w:r>
      <w:r w:rsidR="005A78B8">
        <w:t xml:space="preserve">Verbesserungsvorschläge werden wahrgenommen und auch umgesetzt. </w:t>
      </w:r>
    </w:p>
    <w:p w14:paraId="614B571E" w14:textId="02AFA6FD" w:rsidR="002B0083" w:rsidRDefault="005678D9" w:rsidP="00D37190">
      <w:pPr>
        <w:spacing w:before="0" w:after="120"/>
        <w:rPr>
          <w:rFonts w:cs="Arial"/>
          <w:szCs w:val="22"/>
        </w:rPr>
      </w:pPr>
      <w:r>
        <w:t xml:space="preserve">Der Studiengang </w:t>
      </w:r>
      <w:r w:rsidRPr="005678D9">
        <w:t>„Psychologie mit Schwerpunkt Klinische Psychologie und Psychotherapie“</w:t>
      </w:r>
      <w:r>
        <w:t xml:space="preserve"> ist </w:t>
      </w:r>
      <w:bookmarkStart w:id="7" w:name="_Hlk147396465"/>
      <w:r>
        <w:t xml:space="preserve">ein </w:t>
      </w:r>
      <w:r w:rsidR="005A78B8">
        <w:t xml:space="preserve">in der Vergangenheit </w:t>
      </w:r>
      <w:r>
        <w:t>gut angenommener Studiengang</w:t>
      </w:r>
      <w:bookmarkEnd w:id="7"/>
      <w:r w:rsidR="005A78B8">
        <w:t xml:space="preserve">, der sich in den nächsten Semestern in erster Linie an Studierende richtet, </w:t>
      </w:r>
      <w:r w:rsidR="005A78B8">
        <w:rPr>
          <w:rFonts w:cs="Arial"/>
          <w:szCs w:val="22"/>
        </w:rPr>
        <w:t xml:space="preserve">die eine Psychotherapieausbildung nach altem </w:t>
      </w:r>
      <w:r w:rsidR="00AC7EEE" w:rsidRPr="00AC7EEE">
        <w:rPr>
          <w:rFonts w:cs="Arial"/>
          <w:szCs w:val="22"/>
        </w:rPr>
        <w:t>PsychThG</w:t>
      </w:r>
      <w:r w:rsidR="005A78B8">
        <w:rPr>
          <w:rFonts w:cs="Arial"/>
          <w:szCs w:val="22"/>
        </w:rPr>
        <w:t xml:space="preserve"> </w:t>
      </w:r>
      <w:r w:rsidR="007B5092">
        <w:rPr>
          <w:rFonts w:cs="Arial"/>
          <w:szCs w:val="22"/>
        </w:rPr>
        <w:t>abschließen möchten</w:t>
      </w:r>
      <w:r w:rsidR="005A78B8">
        <w:rPr>
          <w:rFonts w:cs="Arial"/>
          <w:szCs w:val="22"/>
        </w:rPr>
        <w:t xml:space="preserve">. </w:t>
      </w:r>
      <w:r w:rsidR="007B5092" w:rsidRPr="002B0083">
        <w:rPr>
          <w:rFonts w:cs="Arial"/>
          <w:szCs w:val="22"/>
        </w:rPr>
        <w:t>Um sicherzustellen, dass alle Studierenden, die dies wünschen, auch die Möglichkeit haben, eine psychotherapeutische Ausbildung abzuschließen, sollte die Aufnahme von Studierenden mit diesem Ziel nicht zu lange fortgesetzt werden.</w:t>
      </w:r>
      <w:r w:rsidR="007B5092">
        <w:rPr>
          <w:rFonts w:cs="Arial"/>
          <w:szCs w:val="22"/>
        </w:rPr>
        <w:t xml:space="preserve"> </w:t>
      </w:r>
      <w:r w:rsidR="002B0083" w:rsidRPr="002B0083">
        <w:rPr>
          <w:rFonts w:cs="Arial"/>
          <w:szCs w:val="22"/>
        </w:rPr>
        <w:t xml:space="preserve">Langfristig stellt sich die Frage, ob der Studiengang nach der Aufnahme der letzten Kohorte, voraussichtlich im Jahr 2026/2027, fortgeführt wird. In diesem Fall sollte die Hochschule das Profil des Studiengangs, möglicherweise in Richtung </w:t>
      </w:r>
      <w:r w:rsidR="00135427">
        <w:rPr>
          <w:rFonts w:cs="Arial"/>
          <w:szCs w:val="22"/>
        </w:rPr>
        <w:t xml:space="preserve">von </w:t>
      </w:r>
      <w:r w:rsidR="002B0083" w:rsidRPr="002B0083">
        <w:rPr>
          <w:rFonts w:cs="Arial"/>
          <w:szCs w:val="22"/>
        </w:rPr>
        <w:t xml:space="preserve">mehr Forschungsorientierung, erneut überdenken und die Kompetenzziele </w:t>
      </w:r>
      <w:r w:rsidR="007B5092">
        <w:rPr>
          <w:rFonts w:cs="Arial"/>
          <w:szCs w:val="22"/>
        </w:rPr>
        <w:t xml:space="preserve">entsprechend </w:t>
      </w:r>
      <w:r w:rsidR="002B0083" w:rsidRPr="002B0083">
        <w:rPr>
          <w:rFonts w:cs="Arial"/>
          <w:szCs w:val="22"/>
        </w:rPr>
        <w:t>anpassen.</w:t>
      </w:r>
      <w:r w:rsidR="005A78B8">
        <w:rPr>
          <w:rFonts w:cs="Arial"/>
          <w:szCs w:val="22"/>
        </w:rPr>
        <w:t xml:space="preserve"> </w:t>
      </w:r>
      <w:r w:rsidR="002B0083">
        <w:rPr>
          <w:rFonts w:cs="Arial"/>
          <w:szCs w:val="22"/>
        </w:rPr>
        <w:t xml:space="preserve">Wichtig scheint den Gutachter:innen, dass den Studierenden </w:t>
      </w:r>
      <w:r w:rsidR="00813D2E">
        <w:rPr>
          <w:rFonts w:cs="Arial"/>
          <w:szCs w:val="22"/>
        </w:rPr>
        <w:t>zu jedem Zeitpunkt</w:t>
      </w:r>
      <w:r w:rsidR="002B0083">
        <w:rPr>
          <w:rFonts w:cs="Arial"/>
          <w:szCs w:val="22"/>
        </w:rPr>
        <w:t xml:space="preserve"> transparent vermittelt wird, welche beruflichen Möglichkeit</w:t>
      </w:r>
      <w:r w:rsidR="00813D2E">
        <w:rPr>
          <w:rFonts w:cs="Arial"/>
          <w:szCs w:val="22"/>
        </w:rPr>
        <w:t>en</w:t>
      </w:r>
      <w:r w:rsidR="002B0083">
        <w:rPr>
          <w:rFonts w:cs="Arial"/>
          <w:szCs w:val="22"/>
        </w:rPr>
        <w:t xml:space="preserve"> mit dem Abschluss dieses Modells verbunden sind. </w:t>
      </w:r>
      <w:r w:rsidR="00B63DF3">
        <w:rPr>
          <w:rFonts w:cs="Arial"/>
          <w:szCs w:val="22"/>
        </w:rPr>
        <w:t>Grundsätzlich sind sie der Ansicht</w:t>
      </w:r>
      <w:r w:rsidR="00BE68F9">
        <w:rPr>
          <w:rFonts w:cs="Arial"/>
          <w:szCs w:val="22"/>
        </w:rPr>
        <w:t>,</w:t>
      </w:r>
      <w:r w:rsidR="00B63DF3">
        <w:rPr>
          <w:rFonts w:cs="Arial"/>
          <w:szCs w:val="22"/>
        </w:rPr>
        <w:t xml:space="preserve"> dass Studierende, </w:t>
      </w:r>
      <w:r w:rsidR="00B63DF3">
        <w:rPr>
          <w:rFonts w:cs="Arial"/>
          <w:szCs w:val="22"/>
        </w:rPr>
        <w:lastRenderedPageBreak/>
        <w:t xml:space="preserve">die ihren </w:t>
      </w:r>
      <w:r w:rsidR="00B63DF3" w:rsidRPr="00B63DF3">
        <w:rPr>
          <w:rFonts w:cs="Arial"/>
          <w:szCs w:val="22"/>
        </w:rPr>
        <w:t xml:space="preserve">Psychotherapieausbildung nach altem </w:t>
      </w:r>
      <w:r w:rsidR="00AC7EEE">
        <w:rPr>
          <w:rFonts w:cs="Arial"/>
          <w:iCs/>
        </w:rPr>
        <w:t>PsychThG</w:t>
      </w:r>
      <w:r w:rsidR="00B63DF3" w:rsidRPr="00B63DF3">
        <w:rPr>
          <w:rFonts w:cs="Arial"/>
          <w:szCs w:val="22"/>
        </w:rPr>
        <w:t xml:space="preserve"> abschließen möchten</w:t>
      </w:r>
      <w:r w:rsidR="0085459A">
        <w:rPr>
          <w:rFonts w:cs="Arial"/>
          <w:szCs w:val="22"/>
        </w:rPr>
        <w:t>,</w:t>
      </w:r>
      <w:r w:rsidR="00B63DF3">
        <w:rPr>
          <w:rFonts w:cs="Arial"/>
          <w:szCs w:val="22"/>
        </w:rPr>
        <w:t xml:space="preserve"> an der MSH gut aufgehoben sind</w:t>
      </w:r>
      <w:r w:rsidR="0085459A" w:rsidRPr="0085459A">
        <w:rPr>
          <w:rFonts w:cs="Arial"/>
          <w:szCs w:val="22"/>
        </w:rPr>
        <w:t xml:space="preserve"> und keine qualitativen Abstriche hinnehmen müssen</w:t>
      </w:r>
      <w:r w:rsidR="0085459A">
        <w:rPr>
          <w:rFonts w:cs="Arial"/>
          <w:szCs w:val="22"/>
        </w:rPr>
        <w:t xml:space="preserve">. </w:t>
      </w:r>
      <w:r w:rsidR="00B63DF3">
        <w:rPr>
          <w:rFonts w:cs="Arial"/>
          <w:szCs w:val="22"/>
        </w:rPr>
        <w:t xml:space="preserve"> </w:t>
      </w:r>
    </w:p>
    <w:p w14:paraId="6BFF6BB7" w14:textId="423A08EF" w:rsidR="005678D9" w:rsidRDefault="005678D9" w:rsidP="00D37190">
      <w:pPr>
        <w:spacing w:before="0" w:after="120"/>
        <w:rPr>
          <w:rFonts w:cs="Arial"/>
          <w:szCs w:val="22"/>
        </w:rPr>
      </w:pPr>
      <w:r>
        <w:rPr>
          <w:rFonts w:cs="Arial"/>
          <w:szCs w:val="22"/>
        </w:rPr>
        <w:t xml:space="preserve">Verbesserungsmöglichkeiten sehen die Gutachter:innen bei dem forschungsorientierten Masterstudiengang </w:t>
      </w:r>
      <w:r w:rsidR="005A78B8">
        <w:rPr>
          <w:rFonts w:cs="Arial"/>
          <w:szCs w:val="22"/>
        </w:rPr>
        <w:t xml:space="preserve">auch jetzt schon </w:t>
      </w:r>
      <w:r>
        <w:rPr>
          <w:rFonts w:cs="Arial"/>
          <w:szCs w:val="22"/>
        </w:rPr>
        <w:t>hinsichtlich der Vermittlung von methodischen und forschungsorientierten Inhalten</w:t>
      </w:r>
      <w:r w:rsidR="00372EB6">
        <w:rPr>
          <w:rFonts w:cs="Arial"/>
          <w:szCs w:val="22"/>
        </w:rPr>
        <w:t xml:space="preserve"> im Studiengang.</w:t>
      </w:r>
      <w:r w:rsidR="00220514">
        <w:rPr>
          <w:rFonts w:cs="Arial"/>
          <w:szCs w:val="22"/>
        </w:rPr>
        <w:t xml:space="preserve"> Das</w:t>
      </w:r>
      <w:r w:rsidR="00372EB6">
        <w:rPr>
          <w:rFonts w:cs="Arial"/>
          <w:szCs w:val="22"/>
        </w:rPr>
        <w:t xml:space="preserve"> Modul 4 </w:t>
      </w:r>
      <w:r w:rsidR="005A78B8">
        <w:rPr>
          <w:rFonts w:cs="Arial"/>
          <w:szCs w:val="22"/>
        </w:rPr>
        <w:t>„Forschungsmethod</w:t>
      </w:r>
      <w:r w:rsidR="00AD0092">
        <w:rPr>
          <w:rFonts w:cs="Arial"/>
          <w:szCs w:val="22"/>
        </w:rPr>
        <w:t>ik</w:t>
      </w:r>
      <w:r w:rsidR="005A78B8">
        <w:rPr>
          <w:rFonts w:cs="Arial"/>
          <w:szCs w:val="22"/>
        </w:rPr>
        <w:t xml:space="preserve"> I,</w:t>
      </w:r>
      <w:r w:rsidR="0071670A">
        <w:rPr>
          <w:rFonts w:cs="Arial"/>
          <w:szCs w:val="22"/>
        </w:rPr>
        <w:t xml:space="preserve"> </w:t>
      </w:r>
      <w:r w:rsidR="005A78B8">
        <w:rPr>
          <w:rFonts w:cs="Arial"/>
          <w:szCs w:val="22"/>
        </w:rPr>
        <w:t xml:space="preserve">II“ </w:t>
      </w:r>
      <w:r w:rsidR="00813D2E">
        <w:rPr>
          <w:rFonts w:cs="Arial"/>
          <w:szCs w:val="22"/>
        </w:rPr>
        <w:t xml:space="preserve">sollte </w:t>
      </w:r>
      <w:r w:rsidR="00C205B0">
        <w:rPr>
          <w:rFonts w:cs="Arial"/>
          <w:szCs w:val="22"/>
        </w:rPr>
        <w:t xml:space="preserve">ihrer Meinung nach </w:t>
      </w:r>
      <w:r w:rsidR="00372EB6">
        <w:rPr>
          <w:rFonts w:cs="Arial"/>
          <w:szCs w:val="22"/>
        </w:rPr>
        <w:t xml:space="preserve">Forschungsmethoden </w:t>
      </w:r>
      <w:r w:rsidR="00C205B0">
        <w:rPr>
          <w:rFonts w:cs="Arial"/>
          <w:szCs w:val="22"/>
        </w:rPr>
        <w:t>noch umfassender</w:t>
      </w:r>
      <w:r w:rsidR="005A78B8">
        <w:rPr>
          <w:rFonts w:cs="Arial"/>
          <w:szCs w:val="22"/>
        </w:rPr>
        <w:t xml:space="preserve"> </w:t>
      </w:r>
      <w:r w:rsidR="00372EB6">
        <w:rPr>
          <w:rFonts w:cs="Arial"/>
          <w:szCs w:val="22"/>
        </w:rPr>
        <w:t>vermitteln</w:t>
      </w:r>
      <w:r w:rsidR="00C205B0">
        <w:rPr>
          <w:rFonts w:cs="Arial"/>
          <w:szCs w:val="22"/>
        </w:rPr>
        <w:t xml:space="preserve">. Als kompetenzorientierte Prüfungsform </w:t>
      </w:r>
      <w:r w:rsidR="00D372F0">
        <w:rPr>
          <w:rFonts w:cs="Arial"/>
          <w:szCs w:val="22"/>
        </w:rPr>
        <w:t>halten</w:t>
      </w:r>
      <w:r w:rsidR="00C205B0">
        <w:rPr>
          <w:rFonts w:cs="Arial"/>
          <w:szCs w:val="22"/>
        </w:rPr>
        <w:t xml:space="preserve"> sie eine Klausur, die den </w:t>
      </w:r>
      <w:r w:rsidR="00892635">
        <w:rPr>
          <w:rFonts w:cs="Arial"/>
          <w:szCs w:val="22"/>
        </w:rPr>
        <w:t>Wissensstand</w:t>
      </w:r>
      <w:r w:rsidR="00C205B0">
        <w:rPr>
          <w:rFonts w:cs="Arial"/>
          <w:szCs w:val="22"/>
        </w:rPr>
        <w:t xml:space="preserve"> abfragt, für sinnvoll</w:t>
      </w:r>
      <w:r w:rsidR="00372EB6">
        <w:rPr>
          <w:rFonts w:cs="Arial"/>
          <w:szCs w:val="22"/>
        </w:rPr>
        <w:t xml:space="preserve">. </w:t>
      </w:r>
    </w:p>
    <w:bookmarkEnd w:id="6"/>
    <w:p w14:paraId="2B64083D" w14:textId="6442485D" w:rsidR="0094676F" w:rsidRDefault="00220514" w:rsidP="00220514">
      <w:pPr>
        <w:pStyle w:val="berschrift1"/>
        <w:numPr>
          <w:ilvl w:val="0"/>
          <w:numId w:val="0"/>
        </w:numPr>
        <w:spacing w:before="0"/>
        <w:rPr>
          <w:rFonts w:cs="Arial"/>
          <w:b w:val="0"/>
          <w:bCs w:val="0"/>
          <w:szCs w:val="22"/>
          <w:lang w:eastAsia="de-DE"/>
        </w:rPr>
      </w:pPr>
      <w:r w:rsidRPr="00220514">
        <w:rPr>
          <w:rFonts w:cs="Arial"/>
          <w:b w:val="0"/>
          <w:bCs w:val="0"/>
          <w:szCs w:val="22"/>
          <w:lang w:eastAsia="de-DE"/>
        </w:rPr>
        <w:t xml:space="preserve">Die Hochschule verweist sowohl bei der Vermittlung der Forschungsmethoden als auch bei den Praxiszeiten auf ihr konsekutives Modell. Bereits im Bachelorstudiengang werden umfassende Methoden vermittelt, und auch die Praxisanteile sind sehr hoch. Angesichts des rückläufigen Angebots von Studiengängen mit dem Ziel der Psychotherapieausbildung nach den bisherigen </w:t>
      </w:r>
      <w:r w:rsidR="00913DD5">
        <w:rPr>
          <w:rFonts w:cs="Arial"/>
          <w:b w:val="0"/>
          <w:bCs w:val="0"/>
          <w:szCs w:val="22"/>
          <w:lang w:eastAsia="de-DE"/>
        </w:rPr>
        <w:t>Vorgaben</w:t>
      </w:r>
      <w:r w:rsidRPr="00220514">
        <w:rPr>
          <w:rFonts w:cs="Arial"/>
          <w:b w:val="0"/>
          <w:bCs w:val="0"/>
          <w:szCs w:val="22"/>
          <w:lang w:eastAsia="de-DE"/>
        </w:rPr>
        <w:t xml:space="preserve"> ist </w:t>
      </w:r>
      <w:r w:rsidR="0094676F">
        <w:rPr>
          <w:rFonts w:cs="Arial"/>
          <w:b w:val="0"/>
          <w:bCs w:val="0"/>
          <w:szCs w:val="22"/>
          <w:lang w:eastAsia="de-DE"/>
        </w:rPr>
        <w:t xml:space="preserve">nach Ansicht der Gutachter:innen </w:t>
      </w:r>
      <w:r w:rsidRPr="00220514">
        <w:rPr>
          <w:rFonts w:cs="Arial"/>
          <w:b w:val="0"/>
          <w:bCs w:val="0"/>
          <w:szCs w:val="22"/>
          <w:lang w:eastAsia="de-DE"/>
        </w:rPr>
        <w:t>zu erwarten, dass vermehrt Studierende</w:t>
      </w:r>
      <w:r w:rsidR="0028595A">
        <w:rPr>
          <w:rFonts w:cs="Arial"/>
          <w:b w:val="0"/>
          <w:bCs w:val="0"/>
          <w:szCs w:val="22"/>
          <w:lang w:eastAsia="de-DE"/>
        </w:rPr>
        <w:t>, die ihren Bachelorabschluss an anderen Hochschulen</w:t>
      </w:r>
      <w:r w:rsidRPr="00220514">
        <w:rPr>
          <w:rFonts w:cs="Arial"/>
          <w:b w:val="0"/>
          <w:bCs w:val="0"/>
          <w:szCs w:val="22"/>
          <w:lang w:eastAsia="de-DE"/>
        </w:rPr>
        <w:t xml:space="preserve"> </w:t>
      </w:r>
      <w:r w:rsidR="0028595A">
        <w:rPr>
          <w:rFonts w:cs="Arial"/>
          <w:b w:val="0"/>
          <w:bCs w:val="0"/>
          <w:szCs w:val="22"/>
          <w:lang w:eastAsia="de-DE"/>
        </w:rPr>
        <w:t xml:space="preserve">im In- und Ausland absolviert haben, </w:t>
      </w:r>
      <w:r w:rsidR="0094676F">
        <w:rPr>
          <w:rFonts w:cs="Arial"/>
          <w:b w:val="0"/>
          <w:bCs w:val="0"/>
          <w:szCs w:val="22"/>
          <w:lang w:eastAsia="de-DE"/>
        </w:rPr>
        <w:t xml:space="preserve">in den Studiengang aufgenommen </w:t>
      </w:r>
      <w:r w:rsidRPr="00220514">
        <w:rPr>
          <w:rFonts w:cs="Arial"/>
          <w:b w:val="0"/>
          <w:bCs w:val="0"/>
          <w:szCs w:val="22"/>
          <w:lang w:eastAsia="de-DE"/>
        </w:rPr>
        <w:t>werden. Dies ist bereits im Moment absehbar. Für diese Studierenden müssen Nachholangebote in Bezug auf die Methoden und die Praxisanteile</w:t>
      </w:r>
      <w:r w:rsidR="00913DD5">
        <w:rPr>
          <w:rFonts w:cs="Arial"/>
          <w:b w:val="0"/>
          <w:bCs w:val="0"/>
          <w:szCs w:val="22"/>
          <w:lang w:eastAsia="de-DE"/>
        </w:rPr>
        <w:t>, die die Studiere</w:t>
      </w:r>
      <w:r w:rsidR="006E51D6">
        <w:rPr>
          <w:rFonts w:cs="Arial"/>
          <w:b w:val="0"/>
          <w:bCs w:val="0"/>
          <w:szCs w:val="22"/>
          <w:lang w:eastAsia="de-DE"/>
        </w:rPr>
        <w:t>n</w:t>
      </w:r>
      <w:r w:rsidR="00913DD5">
        <w:rPr>
          <w:rFonts w:cs="Arial"/>
          <w:b w:val="0"/>
          <w:bCs w:val="0"/>
          <w:szCs w:val="22"/>
          <w:lang w:eastAsia="de-DE"/>
        </w:rPr>
        <w:t>den bereits im Bachelorstudiengang absolviert haben,</w:t>
      </w:r>
      <w:r w:rsidRPr="00220514">
        <w:rPr>
          <w:rFonts w:cs="Arial"/>
          <w:b w:val="0"/>
          <w:bCs w:val="0"/>
          <w:szCs w:val="22"/>
          <w:lang w:eastAsia="de-DE"/>
        </w:rPr>
        <w:t xml:space="preserve"> </w:t>
      </w:r>
      <w:r w:rsidR="005E5C1C">
        <w:rPr>
          <w:rFonts w:cs="Arial"/>
          <w:b w:val="0"/>
          <w:bCs w:val="0"/>
          <w:szCs w:val="22"/>
          <w:lang w:eastAsia="de-DE"/>
        </w:rPr>
        <w:t>gewährleistet sein</w:t>
      </w:r>
      <w:r w:rsidRPr="00220514">
        <w:rPr>
          <w:rFonts w:cs="Arial"/>
          <w:b w:val="0"/>
          <w:bCs w:val="0"/>
          <w:szCs w:val="22"/>
          <w:lang w:eastAsia="de-DE"/>
        </w:rPr>
        <w:t>.</w:t>
      </w:r>
    </w:p>
    <w:p w14:paraId="0B65B885" w14:textId="77777777" w:rsidR="0094676F" w:rsidRDefault="0094676F" w:rsidP="00C205B0">
      <w:pPr>
        <w:rPr>
          <w:b/>
          <w:bCs/>
        </w:rPr>
      </w:pPr>
      <w:r w:rsidRPr="00C205B0">
        <w:t>Zusätzlich sollten die im Studiengang vermittelten digitalen Handlungskompetenzen im Modul</w:t>
      </w:r>
      <w:r w:rsidRPr="0094676F">
        <w:t>handbuch verankert sein und entsprechend dargestellt werden.</w:t>
      </w:r>
    </w:p>
    <w:p w14:paraId="0A30865B" w14:textId="20469F60" w:rsidR="0094676F" w:rsidRDefault="007E5E55" w:rsidP="00C205B0">
      <w:pPr>
        <w:rPr>
          <w:b/>
          <w:bCs/>
        </w:rPr>
      </w:pPr>
      <w:r w:rsidRPr="007E5E55">
        <w:t xml:space="preserve">Die Gutachter:innen empfehlen </w:t>
      </w:r>
      <w:r w:rsidR="00BE68F9">
        <w:t>zudem</w:t>
      </w:r>
      <w:r w:rsidRPr="007E5E55">
        <w:t xml:space="preserve">, die </w:t>
      </w:r>
      <w:r w:rsidR="0028595A">
        <w:t xml:space="preserve">Konzeption und die </w:t>
      </w:r>
      <w:r w:rsidRPr="007E5E55">
        <w:t>Fragen in den Evaluationsinstrumenten des Studiengangs kritisch zu überprüfen. Grundsätzlich sollte die Lehrveranstaltungsevaluation von der reinen Erfassung der studentischen Zufriedenheit hin zur Messung der im Studiengang vermittelten Kompetenzen umgestaltet werden.</w:t>
      </w:r>
    </w:p>
    <w:p w14:paraId="1829FCEC" w14:textId="50C52A4C" w:rsidR="00C205B0" w:rsidRPr="009A142D" w:rsidRDefault="00C205B0" w:rsidP="00C205B0">
      <w:r w:rsidRPr="009A142D">
        <w:t>Zusammenfassend kommen die Gutachtenden zu dem Ergebnis, der Akkreditierungskommission der AHPGS die Akkreditierung des</w:t>
      </w:r>
      <w:r>
        <w:t xml:space="preserve"> konsekutiven</w:t>
      </w:r>
      <w:r w:rsidRPr="009A142D">
        <w:t xml:space="preserve"> </w:t>
      </w:r>
      <w:r>
        <w:t>Masterstudiengang</w:t>
      </w:r>
      <w:r w:rsidRPr="009A142D">
        <w:t xml:space="preserve">s </w:t>
      </w:r>
      <w:r>
        <w:t xml:space="preserve">„Psychologie mit Schwerpunkt Klinische Psychologie und Psychotherapie“ ohne Auflagen </w:t>
      </w:r>
      <w:r w:rsidRPr="009A142D">
        <w:t xml:space="preserve">zu empfehlen. </w:t>
      </w:r>
    </w:p>
    <w:p w14:paraId="5934851F" w14:textId="77777777" w:rsidR="00C205B0" w:rsidRPr="0001719D" w:rsidRDefault="00C205B0" w:rsidP="00C205B0">
      <w:r w:rsidRPr="0001719D">
        <w:t>Zur weiteren Entwicklung und Verbesserung des Studiengangskonzepts sowie der Studienbedingungen empfehlen die Gutachtenden Folgendes:</w:t>
      </w:r>
    </w:p>
    <w:p w14:paraId="7C6DA3E1" w14:textId="0A9AD26C" w:rsidR="00B823F9" w:rsidRDefault="005E5C1C" w:rsidP="00B823F9">
      <w:pPr>
        <w:pStyle w:val="AufzhlungAuflagen"/>
        <w:rPr>
          <w:rFonts w:cs="Arial"/>
          <w:szCs w:val="22"/>
        </w:rPr>
      </w:pPr>
      <w:r>
        <w:rPr>
          <w:rFonts w:cs="Arial"/>
          <w:szCs w:val="22"/>
        </w:rPr>
        <w:t>D</w:t>
      </w:r>
      <w:r w:rsidRPr="005E5C1C">
        <w:rPr>
          <w:rFonts w:cs="Arial"/>
          <w:szCs w:val="22"/>
        </w:rPr>
        <w:t xml:space="preserve">en Studierenden </w:t>
      </w:r>
      <w:r>
        <w:rPr>
          <w:rFonts w:cs="Arial"/>
          <w:szCs w:val="22"/>
        </w:rPr>
        <w:t xml:space="preserve">sollte </w:t>
      </w:r>
      <w:r w:rsidRPr="005E5C1C">
        <w:rPr>
          <w:rFonts w:cs="Arial"/>
          <w:szCs w:val="22"/>
        </w:rPr>
        <w:t xml:space="preserve">zu jedem Zeitpunkt transparent vermittelt </w:t>
      </w:r>
      <w:r>
        <w:rPr>
          <w:rFonts w:cs="Arial"/>
          <w:szCs w:val="22"/>
        </w:rPr>
        <w:t>werden</w:t>
      </w:r>
      <w:r w:rsidRPr="005E5C1C">
        <w:rPr>
          <w:rFonts w:cs="Arial"/>
          <w:szCs w:val="22"/>
        </w:rPr>
        <w:t>, welche beruflichen Möglichkeiten mit dem Abschluss dieses Modells verbunden sind</w:t>
      </w:r>
      <w:r w:rsidR="00B823F9" w:rsidRPr="00B823F9">
        <w:t xml:space="preserve"> </w:t>
      </w:r>
      <w:r w:rsidR="00B823F9">
        <w:t>und in welchem Zeitraum die konsekutive Psychotherapieausbildung begonnen und abgeschlossen werden muss.</w:t>
      </w:r>
    </w:p>
    <w:p w14:paraId="78A92913" w14:textId="1766148B" w:rsidR="00C205B0" w:rsidRPr="00C205B0" w:rsidRDefault="00C205B0" w:rsidP="005E5C1C">
      <w:pPr>
        <w:pStyle w:val="AufzhlungAuflagen"/>
        <w:spacing w:before="240"/>
        <w:rPr>
          <w:rFonts w:cs="Arial"/>
          <w:szCs w:val="22"/>
        </w:rPr>
      </w:pPr>
      <w:r w:rsidRPr="00C205B0">
        <w:rPr>
          <w:rFonts w:cs="Arial"/>
          <w:szCs w:val="22"/>
        </w:rPr>
        <w:t>Im Modul 4 „Forschungsmethod</w:t>
      </w:r>
      <w:r w:rsidR="004D1C9D">
        <w:rPr>
          <w:rFonts w:cs="Arial"/>
          <w:szCs w:val="22"/>
        </w:rPr>
        <w:t>ik</w:t>
      </w:r>
      <w:r w:rsidRPr="00C205B0">
        <w:rPr>
          <w:rFonts w:cs="Arial"/>
          <w:szCs w:val="22"/>
        </w:rPr>
        <w:t xml:space="preserve"> I,</w:t>
      </w:r>
      <w:r w:rsidR="00D372F0">
        <w:rPr>
          <w:rFonts w:cs="Arial"/>
          <w:szCs w:val="22"/>
        </w:rPr>
        <w:t xml:space="preserve"> </w:t>
      </w:r>
      <w:r w:rsidRPr="00C205B0">
        <w:rPr>
          <w:rFonts w:cs="Arial"/>
          <w:szCs w:val="22"/>
        </w:rPr>
        <w:t>II“ sollten Forschungsmethoden noch umfassender vermitteln werden.</w:t>
      </w:r>
    </w:p>
    <w:p w14:paraId="7CCF8156" w14:textId="09AB20CC" w:rsidR="00C205B0" w:rsidRDefault="00C205B0" w:rsidP="00C205B0">
      <w:pPr>
        <w:pStyle w:val="AufzhlungAuflagen"/>
        <w:rPr>
          <w:rFonts w:cs="Arial"/>
          <w:szCs w:val="22"/>
        </w:rPr>
      </w:pPr>
      <w:r w:rsidRPr="00C205B0">
        <w:rPr>
          <w:rFonts w:cs="Arial"/>
          <w:szCs w:val="22"/>
        </w:rPr>
        <w:t>Als kompe</w:t>
      </w:r>
      <w:r>
        <w:rPr>
          <w:rFonts w:cs="Arial"/>
          <w:szCs w:val="22"/>
        </w:rPr>
        <w:t>tenzorientierte</w:t>
      </w:r>
      <w:r w:rsidR="00D372F0">
        <w:rPr>
          <w:rFonts w:cs="Arial"/>
          <w:szCs w:val="22"/>
        </w:rPr>
        <w:t>s</w:t>
      </w:r>
      <w:r>
        <w:rPr>
          <w:rFonts w:cs="Arial"/>
          <w:szCs w:val="22"/>
        </w:rPr>
        <w:t xml:space="preserve"> </w:t>
      </w:r>
      <w:r w:rsidRPr="00C205B0">
        <w:rPr>
          <w:rFonts w:cs="Arial"/>
          <w:szCs w:val="22"/>
        </w:rPr>
        <w:t>Prü</w:t>
      </w:r>
      <w:r>
        <w:rPr>
          <w:rFonts w:cs="Arial"/>
          <w:szCs w:val="22"/>
        </w:rPr>
        <w:t>f</w:t>
      </w:r>
      <w:r w:rsidRPr="00C205B0">
        <w:rPr>
          <w:rFonts w:cs="Arial"/>
          <w:szCs w:val="22"/>
        </w:rPr>
        <w:t xml:space="preserve">ungsformat sollte eine Klausur </w:t>
      </w:r>
      <w:r w:rsidR="005E5C1C">
        <w:rPr>
          <w:rFonts w:cs="Arial"/>
          <w:szCs w:val="22"/>
        </w:rPr>
        <w:t xml:space="preserve">im Modul 4 </w:t>
      </w:r>
      <w:r w:rsidRPr="00C205B0">
        <w:rPr>
          <w:rFonts w:cs="Arial"/>
          <w:szCs w:val="22"/>
        </w:rPr>
        <w:t>durchgeführt werden</w:t>
      </w:r>
      <w:r>
        <w:rPr>
          <w:rFonts w:cs="Arial"/>
          <w:szCs w:val="22"/>
        </w:rPr>
        <w:t>.</w:t>
      </w:r>
    </w:p>
    <w:p w14:paraId="3C799244" w14:textId="520789FD" w:rsidR="00917A45" w:rsidRPr="00917A45" w:rsidRDefault="00917A45" w:rsidP="00917A45">
      <w:pPr>
        <w:pStyle w:val="AufzhlungAuflagen"/>
        <w:rPr>
          <w:rFonts w:cs="Arial"/>
          <w:szCs w:val="22"/>
        </w:rPr>
      </w:pPr>
      <w:r w:rsidRPr="00917A45">
        <w:rPr>
          <w:rFonts w:cs="Arial"/>
          <w:szCs w:val="22"/>
        </w:rPr>
        <w:lastRenderedPageBreak/>
        <w:t xml:space="preserve">Die im Modul 15 vorgesehenen Hospitationen sollten von allen Studierenden </w:t>
      </w:r>
      <w:r w:rsidR="00D372F0">
        <w:rPr>
          <w:rFonts w:cs="Arial"/>
          <w:szCs w:val="22"/>
        </w:rPr>
        <w:t xml:space="preserve">absolviert </w:t>
      </w:r>
      <w:r w:rsidRPr="00917A45">
        <w:rPr>
          <w:rFonts w:cs="Arial"/>
          <w:szCs w:val="22"/>
        </w:rPr>
        <w:t xml:space="preserve"> werden. </w:t>
      </w:r>
    </w:p>
    <w:p w14:paraId="210C2E46" w14:textId="355F4E1D" w:rsidR="00C205B0" w:rsidRDefault="005E5C1C" w:rsidP="00C205B0">
      <w:pPr>
        <w:pStyle w:val="AufzhlungAuflagen"/>
        <w:rPr>
          <w:rFonts w:cs="Arial"/>
          <w:szCs w:val="22"/>
        </w:rPr>
      </w:pPr>
      <w:r>
        <w:rPr>
          <w:rFonts w:cs="Arial"/>
          <w:szCs w:val="22"/>
        </w:rPr>
        <w:t>D</w:t>
      </w:r>
      <w:r w:rsidRPr="005E5C1C">
        <w:rPr>
          <w:rFonts w:cs="Arial"/>
          <w:szCs w:val="22"/>
        </w:rPr>
        <w:t>ie im Studiengang vermittelten digitalen Handlungskompetenzen</w:t>
      </w:r>
      <w:r>
        <w:rPr>
          <w:rFonts w:cs="Arial"/>
          <w:szCs w:val="22"/>
        </w:rPr>
        <w:t xml:space="preserve"> sollten</w:t>
      </w:r>
      <w:r w:rsidRPr="005E5C1C">
        <w:rPr>
          <w:rFonts w:cs="Arial"/>
          <w:szCs w:val="22"/>
        </w:rPr>
        <w:t xml:space="preserve"> im Modulhandbuch verankert sein und entsprechend dargestellt werden</w:t>
      </w:r>
      <w:r>
        <w:rPr>
          <w:rFonts w:cs="Arial"/>
          <w:szCs w:val="22"/>
        </w:rPr>
        <w:t>.</w:t>
      </w:r>
    </w:p>
    <w:p w14:paraId="055E671A" w14:textId="528E76D1" w:rsidR="005E5C1C" w:rsidRPr="00C205B0" w:rsidRDefault="005E5C1C" w:rsidP="00C205B0">
      <w:pPr>
        <w:pStyle w:val="AufzhlungAuflagen"/>
        <w:rPr>
          <w:rFonts w:cs="Arial"/>
          <w:szCs w:val="22"/>
        </w:rPr>
      </w:pPr>
      <w:r>
        <w:rPr>
          <w:rFonts w:cs="Arial"/>
          <w:szCs w:val="22"/>
        </w:rPr>
        <w:t xml:space="preserve">Die </w:t>
      </w:r>
      <w:r w:rsidRPr="005E5C1C">
        <w:rPr>
          <w:rFonts w:cs="Arial"/>
          <w:szCs w:val="22"/>
        </w:rPr>
        <w:t xml:space="preserve">Lehrveranstaltungsevaluation </w:t>
      </w:r>
      <w:r>
        <w:rPr>
          <w:rFonts w:cs="Arial"/>
          <w:szCs w:val="22"/>
        </w:rPr>
        <w:t xml:space="preserve">sollte </w:t>
      </w:r>
      <w:r w:rsidRPr="005E5C1C">
        <w:rPr>
          <w:rFonts w:cs="Arial"/>
          <w:szCs w:val="22"/>
        </w:rPr>
        <w:t>von der reinen Erfassung der studentischen Zufriedenheit hin zur Messung der im Studiengang vermittelten Kompetenzen umgestaltet werden.</w:t>
      </w:r>
    </w:p>
    <w:p w14:paraId="69F9C756" w14:textId="73C4C1D1" w:rsidR="00394AC7" w:rsidRDefault="00394AC7" w:rsidP="00394AC7">
      <w:pPr>
        <w:pStyle w:val="AufzhlungAuflagen"/>
        <w:rPr>
          <w:rFonts w:cs="Arial"/>
          <w:szCs w:val="22"/>
        </w:rPr>
      </w:pPr>
      <w:r>
        <w:rPr>
          <w:rFonts w:cs="Arial"/>
          <w:szCs w:val="22"/>
        </w:rPr>
        <w:t xml:space="preserve">Falls der Studiengang nach Aufnahme der letzten Studierenden, die eine </w:t>
      </w:r>
      <w:r>
        <w:rPr>
          <w:rStyle w:val="main-content-wrap"/>
        </w:rPr>
        <w:t xml:space="preserve">Ausbildung zu Psychologischen </w:t>
      </w:r>
      <w:proofErr w:type="spellStart"/>
      <w:r>
        <w:rPr>
          <w:rStyle w:val="main-content-wrap"/>
        </w:rPr>
        <w:t>Psychotherapeut:innen</w:t>
      </w:r>
      <w:proofErr w:type="spellEnd"/>
      <w:r>
        <w:rPr>
          <w:rStyle w:val="main-content-wrap"/>
        </w:rPr>
        <w:t xml:space="preserve"> nach altem </w:t>
      </w:r>
      <w:r>
        <w:rPr>
          <w:rFonts w:cs="Arial"/>
          <w:iCs/>
        </w:rPr>
        <w:t>PsychThG</w:t>
      </w:r>
      <w:r>
        <w:rPr>
          <w:rFonts w:cs="Arial"/>
          <w:szCs w:val="22"/>
        </w:rPr>
        <w:t xml:space="preserve"> anstreben</w:t>
      </w:r>
      <w:r w:rsidR="00D372F0">
        <w:rPr>
          <w:rFonts w:cs="Arial"/>
          <w:szCs w:val="22"/>
        </w:rPr>
        <w:t>,</w:t>
      </w:r>
      <w:r>
        <w:rPr>
          <w:rFonts w:cs="Arial"/>
          <w:szCs w:val="22"/>
        </w:rPr>
        <w:t xml:space="preserve"> weitergeführt wird, sollte das Profil des Studiengangs geschärft bzw. weiterentwickelt werden. </w:t>
      </w:r>
    </w:p>
    <w:p w14:paraId="7D36908F" w14:textId="77777777" w:rsidR="00C205B0" w:rsidRPr="00C205B0" w:rsidRDefault="00C205B0" w:rsidP="00C205B0"/>
    <w:p w14:paraId="078699AD" w14:textId="111C6A8E" w:rsidR="005E027A" w:rsidRPr="00457100" w:rsidRDefault="00033D56" w:rsidP="00220514">
      <w:pPr>
        <w:pStyle w:val="berschrift1"/>
        <w:numPr>
          <w:ilvl w:val="0"/>
          <w:numId w:val="0"/>
        </w:numPr>
        <w:spacing w:before="0"/>
        <w:rPr>
          <w:rFonts w:cs="Arial"/>
          <w:szCs w:val="22"/>
        </w:rPr>
      </w:pPr>
      <w:r w:rsidRPr="00616657">
        <w:rPr>
          <w:rFonts w:cs="Arial"/>
          <w:sz w:val="20"/>
          <w:szCs w:val="20"/>
        </w:rPr>
        <w:br w:type="page"/>
      </w:r>
      <w:r w:rsidR="00060A51" w:rsidRPr="00457100" w:rsidDel="00060A51">
        <w:rPr>
          <w:rFonts w:cs="Arial"/>
          <w:szCs w:val="22"/>
        </w:rPr>
        <w:lastRenderedPageBreak/>
        <w:t xml:space="preserve"> </w:t>
      </w:r>
      <w:bookmarkStart w:id="8" w:name="_Toc141346965"/>
      <w:r w:rsidR="000F574D" w:rsidRPr="00457100">
        <w:rPr>
          <w:rFonts w:cs="Arial"/>
          <w:szCs w:val="22"/>
        </w:rPr>
        <w:t>Prüfbericht</w:t>
      </w:r>
      <w:r w:rsidR="00ED0000" w:rsidRPr="00457100">
        <w:rPr>
          <w:rFonts w:cs="Arial"/>
          <w:szCs w:val="22"/>
        </w:rPr>
        <w:t xml:space="preserve">: </w:t>
      </w:r>
      <w:r w:rsidR="000F574D" w:rsidRPr="00457100">
        <w:rPr>
          <w:rFonts w:cs="Arial"/>
          <w:szCs w:val="22"/>
        </w:rPr>
        <w:t>E</w:t>
      </w:r>
      <w:r w:rsidR="004761C4" w:rsidRPr="00457100">
        <w:rPr>
          <w:rFonts w:cs="Arial"/>
          <w:szCs w:val="22"/>
        </w:rPr>
        <w:t>rfüllung</w:t>
      </w:r>
      <w:r w:rsidR="000F574D" w:rsidRPr="00457100">
        <w:rPr>
          <w:rFonts w:cs="Arial"/>
          <w:szCs w:val="22"/>
        </w:rPr>
        <w:t xml:space="preserve"> der formalen Kriterien</w:t>
      </w:r>
      <w:bookmarkEnd w:id="8"/>
    </w:p>
    <w:p w14:paraId="51C2444F" w14:textId="7B60D5A3" w:rsidR="0044491E" w:rsidRPr="00D057A6" w:rsidRDefault="002E14A1" w:rsidP="000E504B">
      <w:pPr>
        <w:spacing w:before="0" w:line="240" w:lineRule="auto"/>
        <w:ind w:firstLine="431"/>
        <w:rPr>
          <w:rFonts w:cs="Arial"/>
          <w:i/>
          <w:sz w:val="18"/>
          <w:szCs w:val="18"/>
        </w:rPr>
      </w:pPr>
      <w:r w:rsidRPr="00D057A6">
        <w:rPr>
          <w:rFonts w:cs="Arial"/>
          <w:i/>
          <w:sz w:val="18"/>
          <w:szCs w:val="18"/>
        </w:rPr>
        <w:t>(</w:t>
      </w:r>
      <w:r w:rsidR="000F574D" w:rsidRPr="00D057A6">
        <w:rPr>
          <w:rFonts w:cs="Arial"/>
          <w:i/>
          <w:sz w:val="18"/>
          <w:szCs w:val="18"/>
        </w:rPr>
        <w:t xml:space="preserve">gemäß Art. 2 Abs. 2 </w:t>
      </w:r>
      <w:bookmarkStart w:id="9" w:name="_Hlk10462011"/>
      <w:r w:rsidR="009D6FED" w:rsidRPr="009D6FED">
        <w:rPr>
          <w:rFonts w:cs="Arial"/>
          <w:i/>
          <w:sz w:val="18"/>
          <w:szCs w:val="18"/>
        </w:rPr>
        <w:t>StAkkrStV</w:t>
      </w:r>
      <w:bookmarkEnd w:id="9"/>
      <w:r w:rsidR="000F574D" w:rsidRPr="00D057A6">
        <w:rPr>
          <w:rFonts w:cs="Arial"/>
          <w:i/>
          <w:sz w:val="18"/>
          <w:szCs w:val="18"/>
        </w:rPr>
        <w:t xml:space="preserve"> und §§ 3 bis 8 und § 24 Abs. 3 MRVO</w:t>
      </w:r>
      <w:r w:rsidR="005E027A" w:rsidRPr="00D057A6">
        <w:rPr>
          <w:rFonts w:cs="Arial"/>
          <w:i/>
          <w:sz w:val="18"/>
          <w:szCs w:val="18"/>
        </w:rPr>
        <w:t>)</w:t>
      </w:r>
    </w:p>
    <w:p w14:paraId="093E0000" w14:textId="77777777" w:rsidR="001C31ED" w:rsidRDefault="001C31ED" w:rsidP="000E504B">
      <w:pPr>
        <w:spacing w:before="0" w:line="240" w:lineRule="auto"/>
      </w:pPr>
      <w:bookmarkStart w:id="10" w:name="_Studienstruktur_und_Studiendauer"/>
      <w:bookmarkEnd w:id="10"/>
    </w:p>
    <w:p w14:paraId="2370E723" w14:textId="3F176405" w:rsidR="00616657" w:rsidRDefault="000F574D" w:rsidP="004B0B0A">
      <w:pPr>
        <w:pStyle w:val="berschrift2"/>
        <w:numPr>
          <w:ilvl w:val="0"/>
          <w:numId w:val="0"/>
        </w:numPr>
        <w:spacing w:before="0"/>
      </w:pPr>
      <w:bookmarkStart w:id="11" w:name="_Studienstruktur_und_Studiendauer_1"/>
      <w:bookmarkStart w:id="12" w:name="_Toc141346966"/>
      <w:bookmarkEnd w:id="11"/>
      <w:r w:rsidRPr="00457100">
        <w:t>Studienstruktur</w:t>
      </w:r>
      <w:r w:rsidR="00E979D9" w:rsidRPr="00457100">
        <w:t xml:space="preserve"> und Studiendauer</w:t>
      </w:r>
      <w:r w:rsidR="00BE6DD4" w:rsidRPr="00457100">
        <w:t xml:space="preserve"> </w:t>
      </w:r>
      <w:hyperlink w:anchor="Studienstruktur" w:history="1">
        <w:r w:rsidR="00BE6DD4" w:rsidRPr="00AA268C">
          <w:rPr>
            <w:rStyle w:val="Hyperlink"/>
            <w:rFonts w:cs="Arial"/>
          </w:rPr>
          <w:t>(§ 3 MRVO)</w:t>
        </w:r>
        <w:bookmarkEnd w:id="12"/>
      </w:hyperlink>
      <w:r w:rsidR="000930D3">
        <w:rPr>
          <w:rStyle w:val="Hyperlink"/>
          <w:rFonts w:cs="Arial"/>
          <w:i/>
        </w:rPr>
        <w:t xml:space="preserve"> </w:t>
      </w:r>
    </w:p>
    <w:p w14:paraId="15AC2D41" w14:textId="4275C0E0" w:rsidR="00D057A6" w:rsidRDefault="003336AB" w:rsidP="004B0B0A">
      <w:pPr>
        <w:rPr>
          <w:rFonts w:cs="Arial"/>
          <w:b/>
          <w:color w:val="A71930"/>
          <w:szCs w:val="22"/>
        </w:rPr>
      </w:pPr>
      <w:r>
        <w:rPr>
          <w:rFonts w:cs="Arial"/>
          <w:b/>
          <w:color w:val="A71930"/>
          <w:szCs w:val="22"/>
        </w:rPr>
        <w:t>Sachstand</w:t>
      </w:r>
      <w:r w:rsidR="000F574D" w:rsidRPr="00457100">
        <w:rPr>
          <w:rFonts w:cs="Arial"/>
          <w:b/>
          <w:color w:val="A71930"/>
          <w:szCs w:val="22"/>
        </w:rPr>
        <w:t>/Bewertung</w:t>
      </w:r>
      <w:r w:rsidR="008531B0">
        <w:rPr>
          <w:rFonts w:cs="Arial"/>
          <w:b/>
          <w:color w:val="A71930"/>
          <w:szCs w:val="22"/>
        </w:rPr>
        <w:t xml:space="preserve"> </w:t>
      </w:r>
    </w:p>
    <w:p w14:paraId="229E76BE" w14:textId="255B5B96" w:rsidR="008D0BCD" w:rsidRPr="00472E20" w:rsidRDefault="00113A26" w:rsidP="000E504B">
      <w:pPr>
        <w:spacing w:before="0" w:after="120" w:line="240" w:lineRule="auto"/>
        <w:rPr>
          <w:rFonts w:cs="Arial"/>
          <w:iCs/>
          <w:szCs w:val="22"/>
        </w:rPr>
      </w:pPr>
      <w:bookmarkStart w:id="13" w:name="_Hlk35861227"/>
      <w:r w:rsidRPr="00472E20">
        <w:rPr>
          <w:rFonts w:cs="Arial"/>
          <w:iCs/>
          <w:szCs w:val="22"/>
        </w:rPr>
        <w:t xml:space="preserve">Der konsekutive Masterstudiengang </w:t>
      </w:r>
      <w:bookmarkStart w:id="14" w:name="_Hlk146701103"/>
      <w:r w:rsidR="00472E20" w:rsidRPr="00472E20">
        <w:rPr>
          <w:szCs w:val="22"/>
        </w:rPr>
        <w:t>„Psychologie mit Schwerpunkt Klinische Psychologie und Psychotherapie“</w:t>
      </w:r>
      <w:r w:rsidRPr="00472E20">
        <w:rPr>
          <w:rFonts w:cs="Arial"/>
          <w:iCs/>
          <w:szCs w:val="22"/>
        </w:rPr>
        <w:t xml:space="preserve"> </w:t>
      </w:r>
      <w:bookmarkEnd w:id="14"/>
      <w:r w:rsidRPr="00472E20">
        <w:rPr>
          <w:rFonts w:cs="Arial"/>
          <w:iCs/>
          <w:szCs w:val="22"/>
        </w:rPr>
        <w:t>ist</w:t>
      </w:r>
      <w:r w:rsidR="0029103B" w:rsidRPr="00472E20">
        <w:rPr>
          <w:rFonts w:cs="Arial"/>
          <w:iCs/>
          <w:szCs w:val="22"/>
        </w:rPr>
        <w:t xml:space="preserve"> gemäß § </w:t>
      </w:r>
      <w:r w:rsidR="00472E20" w:rsidRPr="00472E20">
        <w:rPr>
          <w:rFonts w:cs="Arial"/>
          <w:iCs/>
          <w:szCs w:val="22"/>
        </w:rPr>
        <w:t>6</w:t>
      </w:r>
      <w:r w:rsidR="0029103B" w:rsidRPr="00472E20">
        <w:rPr>
          <w:rFonts w:cs="Arial"/>
          <w:iCs/>
          <w:szCs w:val="22"/>
        </w:rPr>
        <w:t xml:space="preserve"> der </w:t>
      </w:r>
      <w:r w:rsidR="00472E20">
        <w:rPr>
          <w:rFonts w:cs="Arial"/>
          <w:iCs/>
          <w:szCs w:val="22"/>
        </w:rPr>
        <w:t>Studien- und Prüfungso</w:t>
      </w:r>
      <w:r w:rsidR="0029103B" w:rsidRPr="00472E20">
        <w:rPr>
          <w:rFonts w:cs="Arial"/>
          <w:iCs/>
          <w:szCs w:val="22"/>
        </w:rPr>
        <w:t>rdnung</w:t>
      </w:r>
      <w:r w:rsidRPr="00472E20">
        <w:rPr>
          <w:rFonts w:cs="Arial"/>
          <w:iCs/>
          <w:szCs w:val="22"/>
        </w:rPr>
        <w:t xml:space="preserve"> als Vollzeitstudiengang in Präsenz konzipiert. Für das Absolvieren des Studiengangs werden </w:t>
      </w:r>
      <w:r w:rsidR="00472E20">
        <w:rPr>
          <w:rFonts w:cs="Arial"/>
          <w:iCs/>
          <w:szCs w:val="22"/>
        </w:rPr>
        <w:t>120</w:t>
      </w:r>
      <w:r w:rsidRPr="00472E20">
        <w:rPr>
          <w:rFonts w:cs="Arial"/>
          <w:iCs/>
          <w:szCs w:val="22"/>
        </w:rPr>
        <w:t xml:space="preserve"> Credit Points (CP) nach dem European Credit Transfer System (ECTS) vergeben. Die Regelstudienzeit beträgt </w:t>
      </w:r>
      <w:r w:rsidR="00472E20">
        <w:rPr>
          <w:rFonts w:cs="Arial"/>
          <w:iCs/>
          <w:szCs w:val="22"/>
        </w:rPr>
        <w:t>vier</w:t>
      </w:r>
      <w:r w:rsidRPr="00472E20">
        <w:rPr>
          <w:rFonts w:cs="Arial"/>
          <w:iCs/>
          <w:szCs w:val="22"/>
        </w:rPr>
        <w:t xml:space="preserve"> Semester. </w:t>
      </w:r>
    </w:p>
    <w:bookmarkEnd w:id="13"/>
    <w:p w14:paraId="4CDE7E42" w14:textId="0796F474" w:rsidR="003C6149" w:rsidRPr="00472E20" w:rsidRDefault="003C6149" w:rsidP="004B0B0A">
      <w:pPr>
        <w:rPr>
          <w:rFonts w:cs="Arial"/>
          <w:color w:val="A71930"/>
          <w:szCs w:val="22"/>
        </w:rPr>
      </w:pPr>
      <w:r w:rsidRPr="00472E20">
        <w:rPr>
          <w:rFonts w:cs="Arial"/>
          <w:b/>
          <w:color w:val="A71930"/>
          <w:szCs w:val="22"/>
        </w:rPr>
        <w:t>Entscheidungsvorschlag</w:t>
      </w:r>
    </w:p>
    <w:p w14:paraId="00710934" w14:textId="3CD560A2" w:rsidR="00D057A6" w:rsidRPr="00472E20" w:rsidRDefault="000E2809" w:rsidP="00472E20">
      <w:pPr>
        <w:spacing w:before="0" w:after="120" w:line="240" w:lineRule="auto"/>
        <w:rPr>
          <w:rFonts w:cs="Arial"/>
          <w:i/>
          <w:szCs w:val="22"/>
        </w:rPr>
      </w:pPr>
      <w:r w:rsidRPr="00472E20">
        <w:rPr>
          <w:rFonts w:cs="Arial"/>
          <w:szCs w:val="22"/>
        </w:rPr>
        <w:t xml:space="preserve">Das </w:t>
      </w:r>
      <w:r w:rsidR="00E979D9" w:rsidRPr="00472E20">
        <w:rPr>
          <w:rFonts w:cs="Arial"/>
          <w:szCs w:val="22"/>
        </w:rPr>
        <w:t>Kriterium ist erfüllt</w:t>
      </w:r>
      <w:r w:rsidRPr="00472E20">
        <w:rPr>
          <w:rFonts w:cs="Arial"/>
          <w:szCs w:val="22"/>
        </w:rPr>
        <w:t>.</w:t>
      </w:r>
      <w:r w:rsidR="00E979D9" w:rsidRPr="00472E20">
        <w:rPr>
          <w:rFonts w:cs="Arial"/>
          <w:szCs w:val="22"/>
        </w:rPr>
        <w:t xml:space="preserve"> </w:t>
      </w:r>
    </w:p>
    <w:p w14:paraId="161242D7" w14:textId="77777777" w:rsidR="000F574D" w:rsidRPr="00472E20" w:rsidRDefault="000F574D" w:rsidP="00F05881">
      <w:pPr>
        <w:spacing w:before="0" w:after="120" w:line="240" w:lineRule="auto"/>
        <w:rPr>
          <w:rFonts w:cs="Arial"/>
          <w:iCs/>
          <w:szCs w:val="22"/>
        </w:rPr>
      </w:pPr>
    </w:p>
    <w:p w14:paraId="559ADD30" w14:textId="37C8926E" w:rsidR="000F574D" w:rsidRPr="00472E20" w:rsidRDefault="000F574D" w:rsidP="004B0B0A">
      <w:pPr>
        <w:pStyle w:val="berschrift2"/>
        <w:numPr>
          <w:ilvl w:val="0"/>
          <w:numId w:val="0"/>
        </w:numPr>
        <w:spacing w:before="0"/>
        <w:ind w:left="567" w:hanging="567"/>
      </w:pPr>
      <w:bookmarkStart w:id="15" w:name="_Studiengangsprofil_(§_4"/>
      <w:bookmarkStart w:id="16" w:name="_Toc141346967"/>
      <w:bookmarkEnd w:id="15"/>
      <w:r w:rsidRPr="00472E20">
        <w:t>Studiengangsprofil</w:t>
      </w:r>
      <w:r w:rsidR="00AD335B" w:rsidRPr="00472E20">
        <w:t>e</w:t>
      </w:r>
      <w:r w:rsidR="005365C5" w:rsidRPr="00472E20">
        <w:t xml:space="preserve"> </w:t>
      </w:r>
      <w:hyperlink w:anchor="Studiengangsprofile" w:history="1">
        <w:r w:rsidR="005365C5" w:rsidRPr="00472E20">
          <w:rPr>
            <w:rStyle w:val="Hyperlink"/>
            <w:rFonts w:cs="Arial"/>
          </w:rPr>
          <w:t>(§ 4 MRVO)</w:t>
        </w:r>
        <w:bookmarkEnd w:id="16"/>
      </w:hyperlink>
    </w:p>
    <w:p w14:paraId="4D86456E" w14:textId="77777777" w:rsidR="004B0B0A" w:rsidRPr="00472E20" w:rsidRDefault="003336AB" w:rsidP="004B0B0A">
      <w:pPr>
        <w:rPr>
          <w:rFonts w:cs="Arial"/>
          <w:b/>
          <w:color w:val="A71930"/>
          <w:szCs w:val="22"/>
        </w:rPr>
      </w:pPr>
      <w:r w:rsidRPr="00472E20">
        <w:rPr>
          <w:rFonts w:cs="Arial"/>
          <w:b/>
          <w:color w:val="A71930"/>
          <w:szCs w:val="22"/>
        </w:rPr>
        <w:t>Sachstand</w:t>
      </w:r>
      <w:r w:rsidR="00620071" w:rsidRPr="00472E20">
        <w:rPr>
          <w:rFonts w:cs="Arial"/>
          <w:b/>
          <w:color w:val="A71930"/>
          <w:szCs w:val="22"/>
        </w:rPr>
        <w:t>/Bewertung</w:t>
      </w:r>
      <w:r w:rsidR="008531B0" w:rsidRPr="00472E20">
        <w:rPr>
          <w:rFonts w:cs="Arial"/>
          <w:b/>
          <w:color w:val="A71930"/>
          <w:szCs w:val="22"/>
        </w:rPr>
        <w:t xml:space="preserve"> </w:t>
      </w:r>
      <w:bookmarkStart w:id="17" w:name="_Hlk69288069"/>
      <w:bookmarkStart w:id="18" w:name="_Hlk35861253"/>
    </w:p>
    <w:p w14:paraId="18211163" w14:textId="1F0947BF" w:rsidR="00113A26" w:rsidRDefault="00113A26" w:rsidP="00CC2E6F">
      <w:pPr>
        <w:spacing w:line="240" w:lineRule="auto"/>
      </w:pPr>
      <w:r w:rsidRPr="00472E20">
        <w:t xml:space="preserve">Der konsekutive </w:t>
      </w:r>
      <w:r w:rsidR="003A4F48" w:rsidRPr="00472E20">
        <w:t>Masters</w:t>
      </w:r>
      <w:r w:rsidRPr="00472E20">
        <w:t xml:space="preserve">tudiengang ist laut Hochschule forschungsorientiert ausgerichtet. </w:t>
      </w:r>
      <w:bookmarkEnd w:id="17"/>
      <w:r w:rsidRPr="00472E20">
        <w:t>Im Modul</w:t>
      </w:r>
      <w:r w:rsidR="00CA15C3">
        <w:t xml:space="preserve"> </w:t>
      </w:r>
      <w:r w:rsidR="00472E20">
        <w:t>16</w:t>
      </w:r>
      <w:r w:rsidRPr="00472E20">
        <w:t xml:space="preserve"> „</w:t>
      </w:r>
      <w:r w:rsidR="00472E20">
        <w:t>Masterarbeit mit Kolloquium</w:t>
      </w:r>
      <w:r w:rsidRPr="00472E20">
        <w:t>“ (</w:t>
      </w:r>
      <w:r w:rsidR="00472E20">
        <w:t>20</w:t>
      </w:r>
      <w:r w:rsidRPr="00472E20">
        <w:t xml:space="preserve"> CP) ist die Abschlussarbeit enthalten, in der die Studierenden </w:t>
      </w:r>
      <w:r w:rsidRPr="00472E20">
        <w:rPr>
          <w:lang w:eastAsia="en-US"/>
        </w:rPr>
        <w:t>ein Problem aus dem  Fach selbständig nach wissenschaftlichen Methoden bearbeiten</w:t>
      </w:r>
      <w:r w:rsidRPr="00472E20">
        <w:t xml:space="preserve">. </w:t>
      </w:r>
    </w:p>
    <w:p w14:paraId="646B3925" w14:textId="22728156" w:rsidR="00472E20" w:rsidRDefault="00472E20" w:rsidP="00CC2E6F">
      <w:pPr>
        <w:spacing w:line="240" w:lineRule="auto"/>
        <w:rPr>
          <w:sz w:val="21"/>
          <w:szCs w:val="21"/>
        </w:rPr>
      </w:pPr>
      <w:r>
        <w:rPr>
          <w:sz w:val="21"/>
          <w:szCs w:val="21"/>
        </w:rPr>
        <w:t xml:space="preserve">Der Masterstudiengang ist staatlich anerkannt und ermöglicht Studierenden zusammen mit einem entsprechenden Bachelorstudiengang den postgradualen Qualifikationsweg zur Approbation als </w:t>
      </w:r>
      <w:proofErr w:type="spellStart"/>
      <w:r>
        <w:rPr>
          <w:sz w:val="21"/>
          <w:szCs w:val="21"/>
        </w:rPr>
        <w:t>Psychologische:r</w:t>
      </w:r>
      <w:proofErr w:type="spellEnd"/>
      <w:r>
        <w:rPr>
          <w:sz w:val="21"/>
          <w:szCs w:val="21"/>
        </w:rPr>
        <w:t xml:space="preserve"> Psychotherapeut:in (nach altem </w:t>
      </w:r>
      <w:r w:rsidR="00AC7EEE" w:rsidRPr="00AC7EEE">
        <w:rPr>
          <w:sz w:val="21"/>
          <w:szCs w:val="21"/>
        </w:rPr>
        <w:t>PsychThG</w:t>
      </w:r>
      <w:r>
        <w:rPr>
          <w:sz w:val="21"/>
          <w:szCs w:val="21"/>
        </w:rPr>
        <w:t xml:space="preserve">), d.h. Studierende, die vor dem 01.09.2020 ein Bachelorstudium der Psychologie begonnen haben, </w:t>
      </w:r>
      <w:r w:rsidR="00A93229">
        <w:rPr>
          <w:sz w:val="21"/>
          <w:szCs w:val="21"/>
        </w:rPr>
        <w:t xml:space="preserve">können </w:t>
      </w:r>
      <w:r>
        <w:rPr>
          <w:sz w:val="21"/>
          <w:szCs w:val="21"/>
        </w:rPr>
        <w:t xml:space="preserve">im Rahmen der gesetzlichen Übergangsfrist bis 01.09.2032 den alten Qualifikationsweg zur Approbation als Psychotherapeut:in nutzen. </w:t>
      </w:r>
    </w:p>
    <w:p w14:paraId="1FA56523" w14:textId="2BB97AD5" w:rsidR="00472E20" w:rsidRDefault="00472E20" w:rsidP="00CC2E6F">
      <w:pPr>
        <w:spacing w:line="240" w:lineRule="auto"/>
      </w:pPr>
      <w:r>
        <w:rPr>
          <w:sz w:val="21"/>
          <w:szCs w:val="21"/>
        </w:rPr>
        <w:t>Nach Ablauf der Übergangsfrist wird der Masterstudiengang bei ausreichend</w:t>
      </w:r>
      <w:r w:rsidR="00441628">
        <w:rPr>
          <w:sz w:val="21"/>
          <w:szCs w:val="21"/>
        </w:rPr>
        <w:t>er</w:t>
      </w:r>
      <w:r>
        <w:rPr>
          <w:sz w:val="21"/>
          <w:szCs w:val="21"/>
        </w:rPr>
        <w:t xml:space="preserve"> Nachfrage weiter angeboten und qualifiziert Studierende dann für klinisch-psychologische Tätigkeiten, die keine Weiterbildung/Approbation erfordern. Der Qualifikationsweg zur Approbation als Psychotherapeut:in ist dann nach derzeitiger Gesetzeslage nur noch über den </w:t>
      </w:r>
      <w:r w:rsidR="00A93229">
        <w:rPr>
          <w:sz w:val="21"/>
          <w:szCs w:val="21"/>
        </w:rPr>
        <w:t xml:space="preserve">ebenfalls an der MSH angebotenen </w:t>
      </w:r>
      <w:r>
        <w:rPr>
          <w:sz w:val="21"/>
          <w:szCs w:val="21"/>
        </w:rPr>
        <w:t xml:space="preserve">Masterstudiengang </w:t>
      </w:r>
      <w:r w:rsidR="00A93229">
        <w:rPr>
          <w:sz w:val="21"/>
          <w:szCs w:val="21"/>
        </w:rPr>
        <w:t>„</w:t>
      </w:r>
      <w:r>
        <w:rPr>
          <w:sz w:val="21"/>
          <w:szCs w:val="21"/>
        </w:rPr>
        <w:t>Psychologie mit Schwerpunkt Klinische Psychologie und Psychotherapie</w:t>
      </w:r>
      <w:r w:rsidR="00A93229">
        <w:rPr>
          <w:sz w:val="21"/>
          <w:szCs w:val="21"/>
        </w:rPr>
        <w:t>“</w:t>
      </w:r>
      <w:r>
        <w:rPr>
          <w:sz w:val="21"/>
          <w:szCs w:val="21"/>
        </w:rPr>
        <w:t xml:space="preserve"> (nach PsychThG 2019) möglich.</w:t>
      </w:r>
    </w:p>
    <w:bookmarkEnd w:id="18"/>
    <w:p w14:paraId="49FC08CD" w14:textId="452CC036" w:rsidR="003C6149" w:rsidRPr="00472E20" w:rsidRDefault="003C6149" w:rsidP="004B0B0A">
      <w:pPr>
        <w:rPr>
          <w:rFonts w:cs="Arial"/>
          <w:color w:val="A71930"/>
          <w:szCs w:val="22"/>
        </w:rPr>
      </w:pPr>
      <w:r w:rsidRPr="00472E20">
        <w:rPr>
          <w:rFonts w:cs="Arial"/>
          <w:b/>
          <w:color w:val="A71930"/>
          <w:szCs w:val="22"/>
        </w:rPr>
        <w:t>Entscheidungsvorschlag</w:t>
      </w:r>
    </w:p>
    <w:p w14:paraId="64DEE9A0" w14:textId="1E393F96" w:rsidR="00D057A6" w:rsidRPr="00472E20" w:rsidRDefault="000E2809" w:rsidP="00A93229">
      <w:pPr>
        <w:spacing w:before="0" w:after="120" w:line="240" w:lineRule="auto"/>
        <w:rPr>
          <w:rFonts w:cs="Arial"/>
          <w:i/>
          <w:szCs w:val="22"/>
        </w:rPr>
      </w:pPr>
      <w:r w:rsidRPr="00472E20">
        <w:rPr>
          <w:rFonts w:cs="Arial"/>
          <w:szCs w:val="22"/>
        </w:rPr>
        <w:t>Das Kriterium ist erfüllt.</w:t>
      </w:r>
    </w:p>
    <w:p w14:paraId="0BD17280" w14:textId="77777777" w:rsidR="000F574D" w:rsidRPr="00472E20" w:rsidRDefault="000F574D" w:rsidP="004B0B0A">
      <w:pPr>
        <w:spacing w:before="0" w:after="120" w:line="240" w:lineRule="auto"/>
        <w:rPr>
          <w:rFonts w:cs="Arial"/>
          <w:iCs/>
          <w:szCs w:val="22"/>
        </w:rPr>
      </w:pPr>
    </w:p>
    <w:p w14:paraId="7D22563D" w14:textId="1A2E90E5" w:rsidR="000F574D" w:rsidRPr="00472E20" w:rsidRDefault="000F574D" w:rsidP="004B0B0A">
      <w:pPr>
        <w:pStyle w:val="berschrift2"/>
        <w:numPr>
          <w:ilvl w:val="0"/>
          <w:numId w:val="0"/>
        </w:numPr>
        <w:tabs>
          <w:tab w:val="clear" w:pos="567"/>
          <w:tab w:val="left" w:pos="0"/>
        </w:tabs>
        <w:spacing w:before="0"/>
        <w:rPr>
          <w:b w:val="0"/>
          <w:bCs w:val="0"/>
        </w:rPr>
      </w:pPr>
      <w:bookmarkStart w:id="19" w:name="_Zugangsvoraussetzungen_und_Übergäng"/>
      <w:bookmarkStart w:id="20" w:name="_Toc141346968"/>
      <w:bookmarkEnd w:id="19"/>
      <w:r w:rsidRPr="00472E20">
        <w:t>Zugangsvoraussetzungen</w:t>
      </w:r>
      <w:r w:rsidR="004F3EBA" w:rsidRPr="00472E20">
        <w:t xml:space="preserve"> und Übergänge zwischen Studienangeboten</w:t>
      </w:r>
      <w:r w:rsidR="00581E6B" w:rsidRPr="00472E20">
        <w:t xml:space="preserve"> </w:t>
      </w:r>
      <w:hyperlink w:anchor="Zugangsvoraussetzungen" w:history="1">
        <w:r w:rsidR="00581E6B" w:rsidRPr="00472E20">
          <w:rPr>
            <w:rStyle w:val="Hyperlink"/>
            <w:rFonts w:cs="Arial"/>
          </w:rPr>
          <w:t>(§ 5 MRVO)</w:t>
        </w:r>
        <w:bookmarkEnd w:id="20"/>
      </w:hyperlink>
      <w:r w:rsidR="00AA268C" w:rsidRPr="00472E20">
        <w:rPr>
          <w:b w:val="0"/>
          <w:bCs w:val="0"/>
        </w:rPr>
        <w:t xml:space="preserve"> </w:t>
      </w:r>
    </w:p>
    <w:p w14:paraId="3CAF32F8" w14:textId="649FACAB" w:rsidR="00D057A6" w:rsidRPr="00472E20" w:rsidRDefault="003336AB" w:rsidP="004B0B0A">
      <w:pPr>
        <w:rPr>
          <w:rFonts w:cs="Arial"/>
          <w:b/>
          <w:color w:val="A71930"/>
          <w:szCs w:val="22"/>
        </w:rPr>
      </w:pPr>
      <w:r w:rsidRPr="00472E20">
        <w:rPr>
          <w:rFonts w:cs="Arial"/>
          <w:b/>
          <w:color w:val="A71930"/>
          <w:szCs w:val="22"/>
        </w:rPr>
        <w:t>Sachstand</w:t>
      </w:r>
      <w:r w:rsidR="004F3EBA" w:rsidRPr="00472E20">
        <w:rPr>
          <w:rFonts w:cs="Arial"/>
          <w:b/>
          <w:color w:val="A71930"/>
          <w:szCs w:val="22"/>
        </w:rPr>
        <w:t>/Bewertung</w:t>
      </w:r>
      <w:r w:rsidR="008531B0" w:rsidRPr="00472E20">
        <w:rPr>
          <w:rFonts w:cs="Arial"/>
          <w:b/>
          <w:color w:val="A71930"/>
          <w:szCs w:val="22"/>
        </w:rPr>
        <w:t xml:space="preserve"> </w:t>
      </w:r>
    </w:p>
    <w:p w14:paraId="2AE2217B" w14:textId="0A4A7850" w:rsidR="00CC2E6F" w:rsidRDefault="00CC2E6F" w:rsidP="00CC2E6F">
      <w:pPr>
        <w:pStyle w:val="Default"/>
        <w:rPr>
          <w:sz w:val="21"/>
          <w:szCs w:val="21"/>
        </w:rPr>
      </w:pPr>
      <w:r>
        <w:rPr>
          <w:sz w:val="21"/>
          <w:szCs w:val="21"/>
        </w:rPr>
        <w:t xml:space="preserve">Die Zugangsvoraussetzungen sind </w:t>
      </w:r>
    </w:p>
    <w:p w14:paraId="402B40F4" w14:textId="5D8391D9" w:rsidR="00CC2E6F" w:rsidRDefault="002E1611" w:rsidP="00CC2E6F">
      <w:pPr>
        <w:pStyle w:val="Listenabsatz"/>
        <w:numPr>
          <w:ilvl w:val="0"/>
          <w:numId w:val="4"/>
        </w:numPr>
        <w:spacing w:line="240" w:lineRule="auto"/>
      </w:pPr>
      <w:r>
        <w:t xml:space="preserve">Die </w:t>
      </w:r>
      <w:r w:rsidR="00CC2E6F">
        <w:t>Berechtigung zum Studium in Masterstudiengängen gemäß § 39 des Hamburgischen Hochschulgesetzes (HmbHG)</w:t>
      </w:r>
      <w:r>
        <w:t xml:space="preserve"> und</w:t>
      </w:r>
      <w:r w:rsidR="00CC2E6F">
        <w:t xml:space="preserve"> </w:t>
      </w:r>
    </w:p>
    <w:p w14:paraId="5667AABE" w14:textId="15A35B84" w:rsidR="00CC2E6F" w:rsidRDefault="002E1611" w:rsidP="00CC2E6F">
      <w:pPr>
        <w:pStyle w:val="Listenabsatz"/>
        <w:numPr>
          <w:ilvl w:val="0"/>
          <w:numId w:val="4"/>
        </w:numPr>
        <w:spacing w:line="240" w:lineRule="auto"/>
      </w:pPr>
      <w:r>
        <w:t>e</w:t>
      </w:r>
      <w:r w:rsidR="00CC2E6F">
        <w:t xml:space="preserve">in mit Erfolg abgeschlossenes einschlägiges Bachelorstudium „Psychologie“ (in der Regel Durchschnittsnote mindestens 2,5) mit mindestens 180 Credit Points. </w:t>
      </w:r>
    </w:p>
    <w:p w14:paraId="620E11F0" w14:textId="77777777" w:rsidR="00CC2E6F" w:rsidRDefault="00CC2E6F" w:rsidP="00CC2E6F">
      <w:pPr>
        <w:pStyle w:val="Default"/>
        <w:rPr>
          <w:sz w:val="21"/>
          <w:szCs w:val="21"/>
        </w:rPr>
      </w:pPr>
    </w:p>
    <w:p w14:paraId="50D31900" w14:textId="720AEE9A" w:rsidR="00CC2E6F" w:rsidRDefault="00CC2E6F" w:rsidP="00541B4B">
      <w:pPr>
        <w:pStyle w:val="Default"/>
        <w:jc w:val="both"/>
        <w:rPr>
          <w:sz w:val="21"/>
          <w:szCs w:val="21"/>
        </w:rPr>
      </w:pPr>
      <w:r>
        <w:rPr>
          <w:sz w:val="21"/>
          <w:szCs w:val="21"/>
        </w:rPr>
        <w:t>Die MSH trifft eine Entscheidung über die Zulassung zum Studium nach dem Aufnahmegespräch.</w:t>
      </w:r>
      <w:r w:rsidR="00541B4B">
        <w:rPr>
          <w:sz w:val="21"/>
          <w:szCs w:val="21"/>
        </w:rPr>
        <w:t xml:space="preserve"> </w:t>
      </w:r>
      <w:r>
        <w:rPr>
          <w:sz w:val="21"/>
          <w:szCs w:val="21"/>
        </w:rPr>
        <w:t xml:space="preserve">Das Aufnahmegespräch wird in der Regel von zwei akademisch qualifizierten Mitarbeiter:innen des Bewerbungsmanagements der MSH geführt. In einzelnen Fällen können weitere Vertreter:innen der MSH in die Entscheidungsfindung einbezogen werden. </w:t>
      </w:r>
    </w:p>
    <w:p w14:paraId="50840FF9" w14:textId="77777777" w:rsidR="00CC2E6F" w:rsidRDefault="00CC2E6F" w:rsidP="00CC2E6F">
      <w:pPr>
        <w:spacing w:line="240" w:lineRule="auto"/>
        <w:rPr>
          <w:sz w:val="21"/>
          <w:szCs w:val="21"/>
        </w:rPr>
      </w:pPr>
      <w:r>
        <w:rPr>
          <w:sz w:val="21"/>
          <w:szCs w:val="21"/>
        </w:rPr>
        <w:lastRenderedPageBreak/>
        <w:t xml:space="preserve">Bei der Auswahlentscheidung findet das Auswahlgespräch, der berufliche Werdegang, Fort- und Weiterbildungen sowie die Hochschulzugangsberechtigung bzw. eine entsprechende Prüfung Berücksichtigung. </w:t>
      </w:r>
    </w:p>
    <w:p w14:paraId="2E1BD322" w14:textId="43ACA007" w:rsidR="003C6149" w:rsidRPr="00472E20" w:rsidRDefault="003C6149" w:rsidP="00CC2E6F">
      <w:pPr>
        <w:rPr>
          <w:rFonts w:cs="Arial"/>
          <w:color w:val="A71930"/>
          <w:szCs w:val="22"/>
        </w:rPr>
      </w:pPr>
      <w:r w:rsidRPr="00472E20">
        <w:rPr>
          <w:rFonts w:cs="Arial"/>
          <w:b/>
          <w:color w:val="A71930"/>
          <w:szCs w:val="22"/>
        </w:rPr>
        <w:t>Entscheidungsvorschlag</w:t>
      </w:r>
    </w:p>
    <w:p w14:paraId="71D1E399" w14:textId="32F6EB32" w:rsidR="00D057A6" w:rsidRPr="00472E20" w:rsidRDefault="000E2809" w:rsidP="00CC2E6F">
      <w:pPr>
        <w:spacing w:before="0" w:after="120" w:line="240" w:lineRule="auto"/>
        <w:rPr>
          <w:rFonts w:cs="Arial"/>
          <w:i/>
          <w:szCs w:val="22"/>
        </w:rPr>
      </w:pPr>
      <w:r w:rsidRPr="00472E20">
        <w:rPr>
          <w:rFonts w:cs="Arial"/>
          <w:szCs w:val="22"/>
        </w:rPr>
        <w:t>Das Kriterium ist erfüllt.</w:t>
      </w:r>
    </w:p>
    <w:p w14:paraId="492EAAB3" w14:textId="18D06F5D" w:rsidR="004E1B65" w:rsidRPr="00472E20" w:rsidRDefault="004E1B65" w:rsidP="004B0B0A">
      <w:pPr>
        <w:spacing w:before="0" w:after="120" w:line="240" w:lineRule="auto"/>
        <w:rPr>
          <w:rFonts w:cs="Arial"/>
          <w:iCs/>
          <w:szCs w:val="22"/>
        </w:rPr>
      </w:pPr>
    </w:p>
    <w:p w14:paraId="349ABC6F" w14:textId="4E265F88" w:rsidR="000F574D" w:rsidRPr="00472E20" w:rsidRDefault="000F574D" w:rsidP="00F05881">
      <w:pPr>
        <w:pStyle w:val="berschrift2"/>
        <w:numPr>
          <w:ilvl w:val="0"/>
          <w:numId w:val="0"/>
        </w:numPr>
        <w:spacing w:before="0"/>
      </w:pPr>
      <w:bookmarkStart w:id="21" w:name="_Abschlüsse_und_Abschlussbezeichnung"/>
      <w:bookmarkStart w:id="22" w:name="_Toc141346969"/>
      <w:bookmarkEnd w:id="21"/>
      <w:r w:rsidRPr="00472E20">
        <w:t>Abschlüsse und Abschlussbezeichnungen</w:t>
      </w:r>
      <w:r w:rsidR="006A18E3" w:rsidRPr="00472E20">
        <w:t xml:space="preserve"> </w:t>
      </w:r>
      <w:hyperlink w:anchor="Abschlüsse" w:history="1">
        <w:r w:rsidR="006A18E3" w:rsidRPr="00472E20">
          <w:rPr>
            <w:rStyle w:val="Hyperlink"/>
            <w:rFonts w:cs="Arial"/>
          </w:rPr>
          <w:t>(§ 6 MRVO)</w:t>
        </w:r>
        <w:bookmarkEnd w:id="22"/>
      </w:hyperlink>
    </w:p>
    <w:p w14:paraId="12AD6E25" w14:textId="67DDD1A8" w:rsidR="004E1B65" w:rsidRDefault="003336AB" w:rsidP="00F05881">
      <w:pPr>
        <w:rPr>
          <w:rFonts w:cs="Arial"/>
          <w:b/>
          <w:color w:val="A71930"/>
          <w:szCs w:val="22"/>
        </w:rPr>
      </w:pPr>
      <w:r w:rsidRPr="00472E20">
        <w:rPr>
          <w:rFonts w:cs="Arial"/>
          <w:b/>
          <w:color w:val="A71930"/>
          <w:szCs w:val="22"/>
        </w:rPr>
        <w:t>Sachstand</w:t>
      </w:r>
      <w:r w:rsidR="004E1B65" w:rsidRPr="00472E20">
        <w:rPr>
          <w:rFonts w:cs="Arial"/>
          <w:b/>
          <w:color w:val="A71930"/>
          <w:szCs w:val="22"/>
        </w:rPr>
        <w:t>/Bewertung</w:t>
      </w:r>
    </w:p>
    <w:p w14:paraId="32D8C5E2" w14:textId="6BA41253" w:rsidR="00113A26" w:rsidRDefault="00113A26" w:rsidP="000E504B">
      <w:pPr>
        <w:spacing w:before="0" w:after="120" w:line="240" w:lineRule="auto"/>
        <w:rPr>
          <w:rFonts w:cs="Arial"/>
          <w:iCs/>
          <w:szCs w:val="22"/>
        </w:rPr>
      </w:pPr>
      <w:bookmarkStart w:id="23" w:name="_Hlk35861282"/>
      <w:r w:rsidRPr="00CC2E6F">
        <w:rPr>
          <w:rFonts w:cs="Arial"/>
          <w:iCs/>
          <w:szCs w:val="22"/>
        </w:rPr>
        <w:t>Für den erfolgreichen Abschluss des</w:t>
      </w:r>
      <w:r w:rsidR="00CC2E6F" w:rsidRPr="00CC2E6F">
        <w:rPr>
          <w:rFonts w:cs="Arial"/>
          <w:iCs/>
          <w:szCs w:val="22"/>
        </w:rPr>
        <w:t xml:space="preserve"> </w:t>
      </w:r>
      <w:r w:rsidRPr="00CC2E6F">
        <w:rPr>
          <w:rFonts w:cs="Arial"/>
          <w:iCs/>
          <w:szCs w:val="22"/>
        </w:rPr>
        <w:t xml:space="preserve">Masterstudiengangs </w:t>
      </w:r>
      <w:r w:rsidR="00CC2E6F" w:rsidRPr="00CC2E6F">
        <w:rPr>
          <w:szCs w:val="22"/>
        </w:rPr>
        <w:t>„Psychologie mit Schwerpunkt Klinische Psychologie und Psychotherapie“</w:t>
      </w:r>
      <w:r w:rsidRPr="00CC2E6F">
        <w:rPr>
          <w:rFonts w:cs="Arial"/>
          <w:iCs/>
          <w:szCs w:val="22"/>
        </w:rPr>
        <w:t xml:space="preserve"> wird </w:t>
      </w:r>
      <w:r w:rsidR="0029103B" w:rsidRPr="00CC2E6F">
        <w:rPr>
          <w:rFonts w:cs="Arial"/>
          <w:iCs/>
          <w:szCs w:val="22"/>
        </w:rPr>
        <w:t xml:space="preserve">gemäß § </w:t>
      </w:r>
      <w:r w:rsidR="00CC2E6F" w:rsidRPr="00CC2E6F">
        <w:rPr>
          <w:rFonts w:cs="Arial"/>
          <w:iCs/>
          <w:szCs w:val="22"/>
        </w:rPr>
        <w:t>8</w:t>
      </w:r>
      <w:r w:rsidR="0029103B" w:rsidRPr="00CC2E6F">
        <w:rPr>
          <w:rFonts w:cs="Arial"/>
          <w:iCs/>
          <w:szCs w:val="22"/>
        </w:rPr>
        <w:t xml:space="preserve"> der </w:t>
      </w:r>
      <w:r w:rsidR="00CC2E6F" w:rsidRPr="00CC2E6F">
        <w:rPr>
          <w:rFonts w:cs="Arial"/>
          <w:iCs/>
          <w:szCs w:val="22"/>
        </w:rPr>
        <w:t>Studien- und Prüfungsordnung</w:t>
      </w:r>
      <w:r w:rsidR="0029103B" w:rsidRPr="00CC2E6F">
        <w:rPr>
          <w:rFonts w:cs="Arial"/>
          <w:iCs/>
          <w:szCs w:val="22"/>
        </w:rPr>
        <w:t xml:space="preserve"> </w:t>
      </w:r>
      <w:r w:rsidRPr="00CC2E6F">
        <w:rPr>
          <w:rFonts w:cs="Arial"/>
          <w:iCs/>
          <w:szCs w:val="22"/>
        </w:rPr>
        <w:t>der Abschlussgrad „</w:t>
      </w:r>
      <w:r w:rsidR="00CC2E6F" w:rsidRPr="00CC2E6F">
        <w:rPr>
          <w:rFonts w:cs="Arial"/>
          <w:iCs/>
          <w:szCs w:val="22"/>
        </w:rPr>
        <w:t>Master of Science</w:t>
      </w:r>
      <w:r w:rsidRPr="00CC2E6F">
        <w:rPr>
          <w:rFonts w:cs="Arial"/>
          <w:iCs/>
          <w:szCs w:val="22"/>
        </w:rPr>
        <w:t>“ (</w:t>
      </w:r>
      <w:r w:rsidR="00CC2E6F" w:rsidRPr="00CC2E6F">
        <w:rPr>
          <w:rFonts w:cs="Arial"/>
          <w:iCs/>
          <w:szCs w:val="22"/>
        </w:rPr>
        <w:t>M</w:t>
      </w:r>
      <w:r w:rsidRPr="00CC2E6F">
        <w:rPr>
          <w:rFonts w:cs="Arial"/>
          <w:iCs/>
          <w:szCs w:val="22"/>
        </w:rPr>
        <w:t>.</w:t>
      </w:r>
      <w:r w:rsidR="00CC2E6F" w:rsidRPr="00CC2E6F">
        <w:rPr>
          <w:rFonts w:cs="Arial"/>
          <w:iCs/>
          <w:szCs w:val="22"/>
        </w:rPr>
        <w:t>Sc</w:t>
      </w:r>
      <w:r w:rsidRPr="00CC2E6F">
        <w:rPr>
          <w:rFonts w:cs="Arial"/>
          <w:iCs/>
          <w:szCs w:val="22"/>
        </w:rPr>
        <w:t>.) vergeben. Im Diploma Supplement wird der Abschlussgrad sowie der dem Abschluss zugrunde liegende, individuelle Studienverlauf ausgewiesen.</w:t>
      </w:r>
    </w:p>
    <w:p w14:paraId="6E48FC0B" w14:textId="70E1E552" w:rsidR="00FB35DD" w:rsidRPr="00113A26" w:rsidRDefault="00FB35DD" w:rsidP="000E504B">
      <w:pPr>
        <w:spacing w:before="0" w:after="120" w:line="240" w:lineRule="auto"/>
        <w:rPr>
          <w:rFonts w:cs="Arial"/>
          <w:b/>
          <w:iCs/>
          <w:szCs w:val="22"/>
        </w:rPr>
      </w:pPr>
      <w:bookmarkStart w:id="24" w:name="_Hlk74661944"/>
      <w:r w:rsidRPr="00CC2E6F">
        <w:rPr>
          <w:rFonts w:cs="Arial"/>
          <w:iCs/>
          <w:szCs w:val="22"/>
        </w:rPr>
        <w:t>Das Diploma Supplement liegt in aktueller Fassung (HRK 2018) in Englisch vor</w:t>
      </w:r>
      <w:bookmarkEnd w:id="24"/>
      <w:r w:rsidR="00CC2E6F" w:rsidRPr="00CC2E6F">
        <w:rPr>
          <w:rFonts w:cs="Arial"/>
          <w:iCs/>
          <w:szCs w:val="22"/>
        </w:rPr>
        <w:t>.</w:t>
      </w:r>
    </w:p>
    <w:bookmarkEnd w:id="23"/>
    <w:p w14:paraId="2267331F" w14:textId="77777777" w:rsidR="004E1B65" w:rsidRPr="00457100" w:rsidRDefault="004E1B65" w:rsidP="00F05881">
      <w:pPr>
        <w:rPr>
          <w:rFonts w:cs="Arial"/>
          <w:color w:val="A71930"/>
          <w:szCs w:val="22"/>
        </w:rPr>
      </w:pPr>
      <w:r w:rsidRPr="00457100">
        <w:rPr>
          <w:rFonts w:cs="Arial"/>
          <w:b/>
          <w:color w:val="A71930"/>
          <w:szCs w:val="22"/>
        </w:rPr>
        <w:t>Entscheidungsvorschlag</w:t>
      </w:r>
    </w:p>
    <w:p w14:paraId="6E92101B" w14:textId="25277393" w:rsidR="00484697" w:rsidRDefault="000E2809" w:rsidP="00CC2E6F">
      <w:pPr>
        <w:spacing w:before="0" w:after="120" w:line="240" w:lineRule="auto"/>
        <w:rPr>
          <w:rFonts w:cs="Arial"/>
          <w:szCs w:val="22"/>
        </w:rPr>
      </w:pPr>
      <w:r>
        <w:rPr>
          <w:rFonts w:cs="Arial"/>
          <w:szCs w:val="22"/>
        </w:rPr>
        <w:t xml:space="preserve">Das </w:t>
      </w:r>
      <w:r w:rsidRPr="00D057A6">
        <w:rPr>
          <w:rFonts w:cs="Arial"/>
          <w:szCs w:val="22"/>
        </w:rPr>
        <w:t>Kriterium ist erfüllt</w:t>
      </w:r>
      <w:r>
        <w:rPr>
          <w:rFonts w:cs="Arial"/>
          <w:szCs w:val="22"/>
        </w:rPr>
        <w:t>.</w:t>
      </w:r>
    </w:p>
    <w:p w14:paraId="1A423013" w14:textId="77777777" w:rsidR="00441628" w:rsidRPr="00484697" w:rsidRDefault="00441628" w:rsidP="00CC2E6F">
      <w:pPr>
        <w:spacing w:before="0" w:after="120" w:line="240" w:lineRule="auto"/>
        <w:rPr>
          <w:lang w:eastAsia="en-US"/>
        </w:rPr>
      </w:pPr>
    </w:p>
    <w:p w14:paraId="0B641663" w14:textId="2C9F7D38" w:rsidR="000F574D" w:rsidRPr="00457100" w:rsidRDefault="000F574D" w:rsidP="00F05881">
      <w:pPr>
        <w:pStyle w:val="berschrift2"/>
        <w:numPr>
          <w:ilvl w:val="0"/>
          <w:numId w:val="0"/>
        </w:numPr>
        <w:spacing w:before="0"/>
      </w:pPr>
      <w:bookmarkStart w:id="25" w:name="_Modularisierung_(§_7"/>
      <w:bookmarkStart w:id="26" w:name="_Toc141346970"/>
      <w:bookmarkEnd w:id="25"/>
      <w:r w:rsidRPr="00457100">
        <w:t>Modularisierung</w:t>
      </w:r>
      <w:r w:rsidR="006A18E3" w:rsidRPr="00457100">
        <w:t xml:space="preserve"> </w:t>
      </w:r>
      <w:hyperlink w:anchor="Modularisierung" w:history="1">
        <w:r w:rsidR="006A18E3" w:rsidRPr="00484697">
          <w:rPr>
            <w:rStyle w:val="Hyperlink"/>
            <w:rFonts w:cs="Arial"/>
          </w:rPr>
          <w:t>(§ 7 MRVO)</w:t>
        </w:r>
        <w:bookmarkEnd w:id="26"/>
      </w:hyperlink>
    </w:p>
    <w:p w14:paraId="1B64AAE6" w14:textId="5489480B" w:rsidR="004E1B65" w:rsidRDefault="003336AB" w:rsidP="00F05881">
      <w:pPr>
        <w:rPr>
          <w:rFonts w:cs="Arial"/>
          <w:b/>
          <w:color w:val="A71930"/>
          <w:szCs w:val="22"/>
        </w:rPr>
      </w:pPr>
      <w:r>
        <w:rPr>
          <w:rFonts w:cs="Arial"/>
          <w:b/>
          <w:color w:val="A71930"/>
          <w:szCs w:val="22"/>
        </w:rPr>
        <w:t>Sachstand</w:t>
      </w:r>
      <w:r w:rsidR="004E1B65" w:rsidRPr="00457100">
        <w:rPr>
          <w:rFonts w:cs="Arial"/>
          <w:b/>
          <w:color w:val="A71930"/>
          <w:szCs w:val="22"/>
        </w:rPr>
        <w:t>/Bewertung</w:t>
      </w:r>
      <w:r w:rsidR="008531B0">
        <w:rPr>
          <w:rFonts w:cs="Arial"/>
          <w:b/>
          <w:color w:val="A71930"/>
          <w:szCs w:val="22"/>
        </w:rPr>
        <w:t xml:space="preserve"> </w:t>
      </w:r>
    </w:p>
    <w:p w14:paraId="5784173B" w14:textId="03FA5AF0" w:rsidR="00113A26" w:rsidRDefault="00113A26" w:rsidP="000E504B">
      <w:pPr>
        <w:spacing w:before="0" w:after="120" w:line="240" w:lineRule="auto"/>
        <w:rPr>
          <w:rFonts w:cs="Arial"/>
          <w:iCs/>
          <w:szCs w:val="22"/>
        </w:rPr>
      </w:pPr>
      <w:bookmarkStart w:id="27" w:name="_Hlk35861309"/>
      <w:r>
        <w:rPr>
          <w:rFonts w:cs="Arial"/>
          <w:iCs/>
          <w:szCs w:val="22"/>
        </w:rPr>
        <w:t xml:space="preserve">Der Studiengang ist vollständig modularisiert. Allen Modulen werden ECTS-Punkte zugeordnet. </w:t>
      </w:r>
      <w:r w:rsidRPr="00042797">
        <w:rPr>
          <w:rFonts w:cs="Arial"/>
          <w:iCs/>
          <w:szCs w:val="22"/>
        </w:rPr>
        <w:t xml:space="preserve">Insgesamt sind im Studiengang </w:t>
      </w:r>
      <w:r w:rsidR="00991D93" w:rsidRPr="00042797">
        <w:rPr>
          <w:rFonts w:cs="Arial"/>
          <w:iCs/>
          <w:szCs w:val="22"/>
        </w:rPr>
        <w:t>1</w:t>
      </w:r>
      <w:r w:rsidR="005E5C1C" w:rsidRPr="00042797">
        <w:rPr>
          <w:rFonts w:cs="Arial"/>
          <w:iCs/>
          <w:szCs w:val="22"/>
        </w:rPr>
        <w:t>7</w:t>
      </w:r>
      <w:r w:rsidRPr="00042797">
        <w:rPr>
          <w:rFonts w:cs="Arial"/>
          <w:iCs/>
          <w:szCs w:val="22"/>
        </w:rPr>
        <w:t xml:space="preserve"> Module vorgesehen, die alle studiert werden müssen. Für die</w:t>
      </w:r>
      <w:r>
        <w:rPr>
          <w:rFonts w:cs="Arial"/>
          <w:iCs/>
          <w:szCs w:val="22"/>
        </w:rPr>
        <w:t xml:space="preserve"> Module werden </w:t>
      </w:r>
      <w:r w:rsidR="00991D93">
        <w:rPr>
          <w:rFonts w:cs="Arial"/>
          <w:iCs/>
          <w:szCs w:val="22"/>
        </w:rPr>
        <w:t xml:space="preserve">zwischen fünf und 20 </w:t>
      </w:r>
      <w:r>
        <w:rPr>
          <w:rFonts w:cs="Arial"/>
          <w:iCs/>
          <w:szCs w:val="22"/>
        </w:rPr>
        <w:t xml:space="preserve">CP vergeben. </w:t>
      </w:r>
      <w:bookmarkStart w:id="28" w:name="_Hlk141169276"/>
      <w:r w:rsidR="002D5C8B">
        <w:t xml:space="preserve">M14 (10 CP) ist als Wahlpflichtbereich konzipiert. Die Studierenden können innerhalb dieses Moduls ein disziplinäres und ein interdisziplinäres Wahlpflichtmodul mit jeweils </w:t>
      </w:r>
      <w:r w:rsidR="008A04D4">
        <w:t>fünf</w:t>
      </w:r>
      <w:r w:rsidR="002D5C8B">
        <w:t xml:space="preserve"> CP aus dem Wahlmodulkatalog auswählen</w:t>
      </w:r>
      <w:bookmarkEnd w:id="28"/>
      <w:r w:rsidR="002D5C8B">
        <w:t xml:space="preserve">. </w:t>
      </w:r>
      <w:r w:rsidR="002D5C8B">
        <w:rPr>
          <w:rFonts w:cs="Arial"/>
          <w:iCs/>
          <w:szCs w:val="22"/>
        </w:rPr>
        <w:t>Alle</w:t>
      </w:r>
      <w:r>
        <w:rPr>
          <w:rFonts w:cs="Arial"/>
          <w:iCs/>
          <w:szCs w:val="22"/>
        </w:rPr>
        <w:t xml:space="preserve"> Module werden innerhalb von einem oder zwei Semestern abgeschlossen.</w:t>
      </w:r>
    </w:p>
    <w:p w14:paraId="551AA393" w14:textId="0AAECF4C" w:rsidR="00991D93" w:rsidRDefault="00991D93" w:rsidP="00991D93">
      <w:pPr>
        <w:spacing w:before="0" w:after="120" w:line="240" w:lineRule="auto"/>
        <w:rPr>
          <w:rFonts w:cs="Arial"/>
          <w:iCs/>
          <w:szCs w:val="22"/>
        </w:rPr>
      </w:pPr>
      <w:r>
        <w:rPr>
          <w:rFonts w:cs="Arial"/>
          <w:iCs/>
          <w:szCs w:val="22"/>
        </w:rPr>
        <w:t>Die Modulbeschreibungen des Modulhandbuchs enthalten Informationen zu den Inhalten und Qualifikationszielen des Moduls, zu den Lehr- und Lernformen, zu den Voraussetzungen für die Teilnahme, zur Verwendbarkeit des Moduls, zu den Voraussetzungen für die Vergabe von ECTS-Leistungspunkten (Prüfungsart, -umfang, -dauer), zu den ECTS-Leistungspunkten, zur Dauer und Häufigkeit des Angebots sowie zum Arbeitsaufwand insgesamt</w:t>
      </w:r>
      <w:r w:rsidR="002E1611">
        <w:rPr>
          <w:rFonts w:cs="Arial"/>
          <w:iCs/>
          <w:szCs w:val="22"/>
        </w:rPr>
        <w:t>.</w:t>
      </w:r>
      <w:r>
        <w:rPr>
          <w:rFonts w:cs="Arial"/>
          <w:iCs/>
          <w:szCs w:val="22"/>
        </w:rPr>
        <w:t xml:space="preserve"> Ebenso wird die (Grundlagen-)Literatur angegeben.</w:t>
      </w:r>
    </w:p>
    <w:bookmarkEnd w:id="27"/>
    <w:p w14:paraId="1B1CEE0B" w14:textId="77777777" w:rsidR="00991D93" w:rsidRDefault="00991D93" w:rsidP="00991D93">
      <w:pPr>
        <w:spacing w:before="0" w:after="120" w:line="240" w:lineRule="auto"/>
        <w:rPr>
          <w:rFonts w:cs="Arial"/>
          <w:iCs/>
          <w:szCs w:val="22"/>
        </w:rPr>
      </w:pPr>
      <w:r w:rsidRPr="0048489A">
        <w:rPr>
          <w:rFonts w:cs="Arial"/>
          <w:iCs/>
          <w:szCs w:val="22"/>
        </w:rPr>
        <w:t xml:space="preserve">Eine relative Note wird entsprechend den Vorgaben des ECTS Users‘ Guide im Diploma Supplement auf der Grundlage des § 10 Abs. </w:t>
      </w:r>
      <w:r w:rsidRPr="0094614B">
        <w:rPr>
          <w:rFonts w:cs="Arial"/>
          <w:iCs/>
          <w:szCs w:val="22"/>
        </w:rPr>
        <w:t>4</w:t>
      </w:r>
      <w:r w:rsidRPr="0048489A">
        <w:rPr>
          <w:rFonts w:cs="Arial"/>
          <w:iCs/>
          <w:szCs w:val="22"/>
        </w:rPr>
        <w:t xml:space="preserve"> der Rahmenprüfungsordnung (RPO) ausgewiesen. Die Prüfungsformen, der Umfang und die Dauer von Prüfungen sind in den §§ 8 und 9 </w:t>
      </w:r>
      <w:r>
        <w:rPr>
          <w:rFonts w:cs="Arial"/>
          <w:iCs/>
          <w:szCs w:val="22"/>
        </w:rPr>
        <w:t xml:space="preserve">der </w:t>
      </w:r>
      <w:r w:rsidRPr="0048489A">
        <w:rPr>
          <w:rFonts w:cs="Arial"/>
          <w:iCs/>
          <w:szCs w:val="22"/>
        </w:rPr>
        <w:t>RPO definiert.</w:t>
      </w:r>
    </w:p>
    <w:p w14:paraId="7FFD0BF9" w14:textId="77777777" w:rsidR="004E1B65" w:rsidRPr="00457100" w:rsidRDefault="004E1B65" w:rsidP="00F05881">
      <w:pPr>
        <w:rPr>
          <w:rFonts w:cs="Arial"/>
          <w:color w:val="A71930"/>
          <w:szCs w:val="22"/>
        </w:rPr>
      </w:pPr>
      <w:r w:rsidRPr="00457100">
        <w:rPr>
          <w:rFonts w:cs="Arial"/>
          <w:b/>
          <w:color w:val="A71930"/>
          <w:szCs w:val="22"/>
        </w:rPr>
        <w:t>Entscheidungsvorschlag</w:t>
      </w:r>
    </w:p>
    <w:p w14:paraId="7F04605E" w14:textId="38A2B4BC" w:rsidR="004E1B65" w:rsidRPr="00D057A6" w:rsidRDefault="000E2809" w:rsidP="00BB7F38">
      <w:pPr>
        <w:spacing w:before="0" w:after="120" w:line="240" w:lineRule="auto"/>
        <w:rPr>
          <w:rFonts w:cs="Arial"/>
          <w:i/>
          <w:szCs w:val="22"/>
        </w:rPr>
      </w:pPr>
      <w:r>
        <w:rPr>
          <w:rFonts w:cs="Arial"/>
          <w:szCs w:val="22"/>
        </w:rPr>
        <w:t xml:space="preserve">Das </w:t>
      </w:r>
      <w:r w:rsidRPr="00D057A6">
        <w:rPr>
          <w:rFonts w:cs="Arial"/>
          <w:szCs w:val="22"/>
        </w:rPr>
        <w:t>Kriterium ist erfüllt</w:t>
      </w:r>
      <w:r>
        <w:rPr>
          <w:rFonts w:cs="Arial"/>
          <w:szCs w:val="22"/>
        </w:rPr>
        <w:t>.</w:t>
      </w:r>
    </w:p>
    <w:p w14:paraId="4BAA8634" w14:textId="77777777" w:rsidR="00021295" w:rsidRPr="00457100" w:rsidRDefault="00021295" w:rsidP="00D37190">
      <w:pPr>
        <w:spacing w:before="0" w:after="120" w:line="240" w:lineRule="auto"/>
        <w:rPr>
          <w:rFonts w:cs="Arial"/>
          <w:szCs w:val="22"/>
        </w:rPr>
      </w:pPr>
    </w:p>
    <w:p w14:paraId="67EB4AB6" w14:textId="1C27FF49" w:rsidR="000F574D" w:rsidRPr="00457100" w:rsidRDefault="000F574D" w:rsidP="00F05881">
      <w:pPr>
        <w:pStyle w:val="berschrift2"/>
        <w:numPr>
          <w:ilvl w:val="0"/>
          <w:numId w:val="0"/>
        </w:numPr>
        <w:spacing w:before="0"/>
        <w:ind w:left="567" w:hanging="567"/>
      </w:pPr>
      <w:bookmarkStart w:id="29" w:name="_Leistungspunktesystem_(§_8"/>
      <w:bookmarkStart w:id="30" w:name="_Toc141346971"/>
      <w:bookmarkEnd w:id="29"/>
      <w:r w:rsidRPr="00457100">
        <w:t>Leistungspunktesystem</w:t>
      </w:r>
      <w:r w:rsidR="006A18E3" w:rsidRPr="00457100">
        <w:t xml:space="preserve"> </w:t>
      </w:r>
      <w:hyperlink w:anchor="Leistungspunktesystem" w:history="1">
        <w:r w:rsidR="006A18E3" w:rsidRPr="00C82C9B">
          <w:rPr>
            <w:rStyle w:val="Hyperlink"/>
            <w:rFonts w:cs="Arial"/>
          </w:rPr>
          <w:t>(§ 8 MRVO)</w:t>
        </w:r>
        <w:bookmarkEnd w:id="30"/>
      </w:hyperlink>
    </w:p>
    <w:p w14:paraId="0C5145CB" w14:textId="6AC63E39" w:rsidR="004E1B65" w:rsidRDefault="003336AB" w:rsidP="00F05881">
      <w:pPr>
        <w:rPr>
          <w:rFonts w:cs="Arial"/>
          <w:b/>
          <w:color w:val="A71930"/>
          <w:szCs w:val="22"/>
        </w:rPr>
      </w:pPr>
      <w:r>
        <w:rPr>
          <w:rFonts w:cs="Arial"/>
          <w:b/>
          <w:color w:val="A71930"/>
          <w:szCs w:val="22"/>
        </w:rPr>
        <w:t>Sachstand</w:t>
      </w:r>
      <w:r w:rsidR="004E1B65" w:rsidRPr="00457100">
        <w:rPr>
          <w:rFonts w:cs="Arial"/>
          <w:b/>
          <w:color w:val="A71930"/>
          <w:szCs w:val="22"/>
        </w:rPr>
        <w:t>/Bewertung</w:t>
      </w:r>
    </w:p>
    <w:p w14:paraId="492E7716" w14:textId="0C19D269" w:rsidR="00991D93" w:rsidRDefault="00113A26" w:rsidP="00BB7F38">
      <w:pPr>
        <w:spacing w:before="0" w:after="120" w:line="240" w:lineRule="auto"/>
        <w:rPr>
          <w:rFonts w:cs="Arial"/>
          <w:iCs/>
          <w:szCs w:val="22"/>
        </w:rPr>
      </w:pPr>
      <w:bookmarkStart w:id="31" w:name="_Hlk35861322"/>
      <w:r>
        <w:rPr>
          <w:rFonts w:cs="Arial"/>
          <w:iCs/>
          <w:szCs w:val="22"/>
        </w:rPr>
        <w:t xml:space="preserve">Die Anwendung des European Credit Transfer Systems (ECTS) ist grundsätzlich gegeben. </w:t>
      </w:r>
      <w:bookmarkEnd w:id="31"/>
      <w:r w:rsidR="00991D93">
        <w:rPr>
          <w:rFonts w:cs="Arial"/>
          <w:iCs/>
          <w:szCs w:val="22"/>
        </w:rPr>
        <w:t xml:space="preserve">Der </w:t>
      </w:r>
      <w:r w:rsidR="00991D93" w:rsidRPr="003D4D29">
        <w:rPr>
          <w:rFonts w:cs="Arial"/>
          <w:iCs/>
          <w:szCs w:val="22"/>
        </w:rPr>
        <w:t>Masterstudiengang</w:t>
      </w:r>
      <w:r w:rsidR="00991D93">
        <w:rPr>
          <w:rFonts w:cs="Arial"/>
          <w:iCs/>
          <w:szCs w:val="22"/>
        </w:rPr>
        <w:t xml:space="preserve"> </w:t>
      </w:r>
      <w:r w:rsidR="00991D93">
        <w:rPr>
          <w:szCs w:val="22"/>
        </w:rPr>
        <w:t>„Psychologie mit Schwerpunkt Klinische Psychologie und Psychotherapie“</w:t>
      </w:r>
      <w:r w:rsidR="00991D93">
        <w:rPr>
          <w:rFonts w:cs="Arial"/>
          <w:iCs/>
          <w:szCs w:val="22"/>
        </w:rPr>
        <w:t xml:space="preserve"> </w:t>
      </w:r>
      <w:r w:rsidR="00991D93">
        <w:rPr>
          <w:rFonts w:cs="Arial"/>
          <w:iCs/>
          <w:szCs w:val="22"/>
        </w:rPr>
        <w:lastRenderedPageBreak/>
        <w:t xml:space="preserve">umfasst 120 CP. Pro Semester </w:t>
      </w:r>
      <w:r w:rsidR="00991D93" w:rsidRPr="0036479F">
        <w:rPr>
          <w:rFonts w:cs="Arial"/>
          <w:iCs/>
          <w:szCs w:val="22"/>
        </w:rPr>
        <w:t>werden 30 CP vergeben. Für jedes Modul ist eine Prüfungsleistung festgelegt, mit deren Absolvieren die CP erworben werden.</w:t>
      </w:r>
      <w:r w:rsidR="00991D93" w:rsidRPr="0036479F">
        <w:t xml:space="preserve"> </w:t>
      </w:r>
      <w:r w:rsidR="00991D93" w:rsidRPr="0036479F">
        <w:rPr>
          <w:rFonts w:cs="Arial"/>
          <w:iCs/>
          <w:szCs w:val="22"/>
        </w:rPr>
        <w:t>Für die Masterarbeit werden in dem Modul</w:t>
      </w:r>
      <w:r w:rsidR="00991D93">
        <w:rPr>
          <w:rFonts w:cs="Arial"/>
          <w:iCs/>
          <w:szCs w:val="22"/>
        </w:rPr>
        <w:t xml:space="preserve"> M16</w:t>
      </w:r>
      <w:r w:rsidR="00991D93" w:rsidRPr="0036479F">
        <w:rPr>
          <w:rFonts w:cs="Arial"/>
          <w:iCs/>
          <w:szCs w:val="22"/>
        </w:rPr>
        <w:t xml:space="preserve"> „Master-Thesis und Kolloquium“ 17 CP und für das begleitende Kolloquium </w:t>
      </w:r>
      <w:r w:rsidR="00991D93">
        <w:rPr>
          <w:rFonts w:cs="Arial"/>
          <w:iCs/>
          <w:szCs w:val="22"/>
        </w:rPr>
        <w:t>drei</w:t>
      </w:r>
      <w:r w:rsidR="00991D93" w:rsidRPr="0036479F">
        <w:rPr>
          <w:rFonts w:cs="Arial"/>
          <w:iCs/>
          <w:szCs w:val="22"/>
        </w:rPr>
        <w:t xml:space="preserve"> CP vergeben. Pro CP sind gemäß § 3 der </w:t>
      </w:r>
      <w:r w:rsidR="002E551F" w:rsidRPr="002E551F">
        <w:rPr>
          <w:rFonts w:cs="Arial"/>
          <w:iCs/>
          <w:szCs w:val="22"/>
        </w:rPr>
        <w:t>Rahmenprüfungsordnung (RPO)</w:t>
      </w:r>
      <w:r w:rsidR="00991D93" w:rsidRPr="0036479F">
        <w:rPr>
          <w:rFonts w:cs="Arial"/>
          <w:iCs/>
          <w:szCs w:val="22"/>
        </w:rPr>
        <w:t xml:space="preserve"> </w:t>
      </w:r>
      <w:r w:rsidR="00991D93">
        <w:rPr>
          <w:rFonts w:cs="Arial"/>
          <w:iCs/>
          <w:szCs w:val="22"/>
        </w:rPr>
        <w:t xml:space="preserve">30 Arbeitsstunden hinterlegt. Für den Studiengang werden insgesamt 3.600 Arbeitsstunden berechnet. Davon entfallen 1.230 Stunden auf </w:t>
      </w:r>
      <w:r w:rsidR="00991D93" w:rsidRPr="00E72190">
        <w:rPr>
          <w:rFonts w:cs="Arial"/>
          <w:iCs/>
          <w:szCs w:val="22"/>
        </w:rPr>
        <w:t>Präsenzveranstaltungen und 2.</w:t>
      </w:r>
      <w:r w:rsidR="00991D93">
        <w:rPr>
          <w:rFonts w:cs="Arial"/>
          <w:iCs/>
          <w:szCs w:val="22"/>
        </w:rPr>
        <w:t>370</w:t>
      </w:r>
      <w:r w:rsidR="00991D93" w:rsidRPr="00E72190">
        <w:rPr>
          <w:rFonts w:cs="Arial"/>
          <w:iCs/>
          <w:szCs w:val="22"/>
        </w:rPr>
        <w:t xml:space="preserve"> Stunden auf die Selbstlernzeit. </w:t>
      </w:r>
      <w:r w:rsidR="00991D93" w:rsidRPr="00E72190">
        <w:rPr>
          <w:rFonts w:cs="Arial"/>
          <w:bCs/>
          <w:szCs w:val="22"/>
        </w:rPr>
        <w:t xml:space="preserve">Für </w:t>
      </w:r>
      <w:r w:rsidR="00991D93">
        <w:rPr>
          <w:rFonts w:cs="Arial"/>
          <w:bCs/>
          <w:szCs w:val="22"/>
        </w:rPr>
        <w:t xml:space="preserve">praktische Anwendungen </w:t>
      </w:r>
      <w:r w:rsidR="00BB7F38" w:rsidRPr="00BB7F38">
        <w:rPr>
          <w:rFonts w:cs="Arial"/>
          <w:bCs/>
          <w:szCs w:val="22"/>
        </w:rPr>
        <w:t>M15</w:t>
      </w:r>
      <w:r w:rsidR="00BB7F38">
        <w:rPr>
          <w:rFonts w:cs="Arial"/>
          <w:bCs/>
          <w:szCs w:val="22"/>
        </w:rPr>
        <w:t xml:space="preserve"> „</w:t>
      </w:r>
      <w:r w:rsidR="00BB7F38" w:rsidRPr="00BB7F38">
        <w:rPr>
          <w:rFonts w:cs="Arial"/>
          <w:bCs/>
          <w:szCs w:val="22"/>
        </w:rPr>
        <w:t>Praxisfelder der Klinischen Psychologie und</w:t>
      </w:r>
      <w:r w:rsidR="00BB7F38">
        <w:rPr>
          <w:rFonts w:cs="Arial"/>
          <w:bCs/>
          <w:szCs w:val="22"/>
        </w:rPr>
        <w:t xml:space="preserve"> </w:t>
      </w:r>
      <w:r w:rsidR="00BB7F38" w:rsidRPr="00BB7F38">
        <w:rPr>
          <w:rFonts w:cs="Arial"/>
          <w:bCs/>
          <w:szCs w:val="22"/>
        </w:rPr>
        <w:t>Psychotherapie (Fallarbeit)</w:t>
      </w:r>
      <w:r w:rsidR="00BB7F38">
        <w:rPr>
          <w:rFonts w:cs="Arial"/>
          <w:bCs/>
          <w:szCs w:val="22"/>
        </w:rPr>
        <w:t xml:space="preserve">“ </w:t>
      </w:r>
      <w:r w:rsidR="00991D93" w:rsidRPr="00E72190">
        <w:rPr>
          <w:rFonts w:cs="Arial"/>
          <w:bCs/>
          <w:szCs w:val="22"/>
        </w:rPr>
        <w:t xml:space="preserve">werden </w:t>
      </w:r>
      <w:r w:rsidR="00991D93">
        <w:rPr>
          <w:rFonts w:cs="Arial"/>
          <w:bCs/>
          <w:szCs w:val="22"/>
        </w:rPr>
        <w:t>10</w:t>
      </w:r>
      <w:r w:rsidR="00991D93" w:rsidRPr="00E72190">
        <w:rPr>
          <w:rFonts w:cs="Arial"/>
          <w:bCs/>
          <w:szCs w:val="22"/>
        </w:rPr>
        <w:t xml:space="preserve"> CP vergeben</w:t>
      </w:r>
      <w:r w:rsidR="00991D93">
        <w:rPr>
          <w:rFonts w:cs="Arial"/>
          <w:bCs/>
          <w:szCs w:val="22"/>
        </w:rPr>
        <w:t xml:space="preserve">. </w:t>
      </w:r>
      <w:r w:rsidR="00991D93" w:rsidRPr="00E72190">
        <w:rPr>
          <w:rFonts w:cs="Arial"/>
          <w:iCs/>
          <w:szCs w:val="22"/>
        </w:rPr>
        <w:t xml:space="preserve"> </w:t>
      </w:r>
    </w:p>
    <w:p w14:paraId="24EF38D7" w14:textId="169B72D1" w:rsidR="004E1B65" w:rsidRPr="00457100" w:rsidRDefault="004E1B65" w:rsidP="00991D93">
      <w:pPr>
        <w:spacing w:before="0" w:after="120" w:line="240" w:lineRule="auto"/>
        <w:rPr>
          <w:rFonts w:cs="Arial"/>
          <w:color w:val="A71930"/>
          <w:szCs w:val="22"/>
        </w:rPr>
      </w:pPr>
      <w:r w:rsidRPr="00457100">
        <w:rPr>
          <w:rFonts w:cs="Arial"/>
          <w:b/>
          <w:color w:val="A71930"/>
          <w:szCs w:val="22"/>
        </w:rPr>
        <w:t>Entscheidungsvorschlag</w:t>
      </w:r>
    </w:p>
    <w:p w14:paraId="52C8BC08" w14:textId="15715A52" w:rsidR="004E1B65" w:rsidRPr="00D057A6" w:rsidRDefault="000E2809" w:rsidP="00BB7F38">
      <w:pPr>
        <w:spacing w:before="0" w:after="120" w:line="240" w:lineRule="auto"/>
        <w:rPr>
          <w:rFonts w:cs="Arial"/>
          <w:i/>
          <w:szCs w:val="22"/>
        </w:rPr>
      </w:pPr>
      <w:r>
        <w:rPr>
          <w:rFonts w:cs="Arial"/>
          <w:szCs w:val="22"/>
        </w:rPr>
        <w:t xml:space="preserve">Das </w:t>
      </w:r>
      <w:r w:rsidRPr="00D057A6">
        <w:rPr>
          <w:rFonts w:cs="Arial"/>
          <w:szCs w:val="22"/>
        </w:rPr>
        <w:t>Kriterium ist erfüllt</w:t>
      </w:r>
      <w:r>
        <w:rPr>
          <w:rFonts w:cs="Arial"/>
          <w:szCs w:val="22"/>
        </w:rPr>
        <w:t>.</w:t>
      </w:r>
    </w:p>
    <w:p w14:paraId="00C725E0" w14:textId="46A810CB" w:rsidR="00021295" w:rsidRDefault="00021295" w:rsidP="00D37190">
      <w:pPr>
        <w:spacing w:before="0" w:after="120" w:line="240" w:lineRule="auto"/>
        <w:rPr>
          <w:rFonts w:cs="Arial"/>
          <w:szCs w:val="22"/>
          <w:lang w:eastAsia="en-US"/>
        </w:rPr>
      </w:pPr>
    </w:p>
    <w:p w14:paraId="683BEEFD" w14:textId="2EFAAF01" w:rsidR="00D57236" w:rsidRPr="002F1394" w:rsidRDefault="005B6F21" w:rsidP="00F05881">
      <w:pPr>
        <w:pStyle w:val="berschrift2"/>
        <w:numPr>
          <w:ilvl w:val="0"/>
          <w:numId w:val="0"/>
        </w:numPr>
        <w:tabs>
          <w:tab w:val="clear" w:pos="567"/>
          <w:tab w:val="left" w:pos="0"/>
        </w:tabs>
        <w:spacing w:before="0"/>
        <w:rPr>
          <w:b w:val="0"/>
          <w:bCs w:val="0"/>
        </w:rPr>
      </w:pPr>
      <w:bookmarkStart w:id="32" w:name="_Anerkennung_und_Anrechnung"/>
      <w:bookmarkStart w:id="33" w:name="_Toc141346972"/>
      <w:bookmarkStart w:id="34" w:name="_Hlk23248015"/>
      <w:bookmarkEnd w:id="32"/>
      <w:r>
        <w:t xml:space="preserve">Anerkennung und </w:t>
      </w:r>
      <w:r w:rsidR="00D57236" w:rsidRPr="004253AC">
        <w:t xml:space="preserve">Anrechnung </w:t>
      </w:r>
      <w:hyperlink w:anchor="AnerkennungAnrechnung" w:history="1">
        <w:r w:rsidR="00D57236" w:rsidRPr="001C31ED">
          <w:rPr>
            <w:rStyle w:val="Hyperlink"/>
            <w:rFonts w:cs="Arial"/>
          </w:rPr>
          <w:t>(</w:t>
        </w:r>
        <w:r w:rsidR="00C82C9B" w:rsidRPr="001C31ED">
          <w:rPr>
            <w:rStyle w:val="Hyperlink"/>
            <w:rFonts w:cs="Arial"/>
          </w:rPr>
          <w:t>Art.</w:t>
        </w:r>
        <w:r w:rsidR="00D57236" w:rsidRPr="001C31ED">
          <w:rPr>
            <w:rStyle w:val="Hyperlink"/>
            <w:rFonts w:cs="Arial"/>
          </w:rPr>
          <w:t xml:space="preserve"> 2 Abs. 2 StAkkrS</w:t>
        </w:r>
        <w:r w:rsidR="004253AC" w:rsidRPr="001C31ED">
          <w:rPr>
            <w:rStyle w:val="Hyperlink"/>
            <w:rFonts w:cs="Arial"/>
          </w:rPr>
          <w:t>t</w:t>
        </w:r>
        <w:r w:rsidR="00D57236" w:rsidRPr="001C31ED">
          <w:rPr>
            <w:rStyle w:val="Hyperlink"/>
            <w:rFonts w:cs="Arial"/>
          </w:rPr>
          <w:t>V)</w:t>
        </w:r>
        <w:bookmarkEnd w:id="33"/>
      </w:hyperlink>
    </w:p>
    <w:bookmarkEnd w:id="34"/>
    <w:p w14:paraId="755461EA" w14:textId="6F500519" w:rsidR="004253AC" w:rsidRDefault="003336AB" w:rsidP="00F05881">
      <w:pPr>
        <w:rPr>
          <w:rFonts w:cs="Arial"/>
          <w:i/>
          <w:szCs w:val="22"/>
        </w:rPr>
      </w:pPr>
      <w:r>
        <w:rPr>
          <w:rFonts w:cs="Arial"/>
          <w:b/>
          <w:color w:val="A71930"/>
          <w:szCs w:val="22"/>
        </w:rPr>
        <w:t>Sachstand</w:t>
      </w:r>
      <w:r w:rsidR="004253AC" w:rsidRPr="00457100">
        <w:rPr>
          <w:rFonts w:cs="Arial"/>
          <w:b/>
          <w:color w:val="A71930"/>
          <w:szCs w:val="22"/>
        </w:rPr>
        <w:t>/Bewertung</w:t>
      </w:r>
      <w:r w:rsidR="004253AC">
        <w:rPr>
          <w:rFonts w:cs="Arial"/>
          <w:b/>
          <w:color w:val="A71930"/>
          <w:szCs w:val="22"/>
        </w:rPr>
        <w:t xml:space="preserve"> </w:t>
      </w:r>
    </w:p>
    <w:p w14:paraId="1C29DE11" w14:textId="30C54A33" w:rsidR="00BB7F38" w:rsidRPr="00BB7F38" w:rsidRDefault="00BB7F38" w:rsidP="00BB7F38">
      <w:pPr>
        <w:spacing w:before="0" w:after="120" w:line="240" w:lineRule="auto"/>
        <w:rPr>
          <w:rFonts w:cs="Arial"/>
          <w:iCs/>
          <w:szCs w:val="22"/>
        </w:rPr>
      </w:pPr>
      <w:r w:rsidRPr="00BB7F38">
        <w:rPr>
          <w:rFonts w:cs="Arial"/>
          <w:iCs/>
          <w:szCs w:val="22"/>
        </w:rPr>
        <w:t xml:space="preserve">Die Anerkennung von in anderen Studiengängen erbrachten Leistungen ist in der </w:t>
      </w:r>
      <w:r w:rsidR="002E551F" w:rsidRPr="002E551F">
        <w:rPr>
          <w:rFonts w:cs="Arial"/>
          <w:iCs/>
          <w:szCs w:val="22"/>
        </w:rPr>
        <w:t>Rahmenprüfungsordnung (RPO</w:t>
      </w:r>
      <w:r w:rsidR="002E1611">
        <w:rPr>
          <w:rFonts w:cs="Arial"/>
          <w:iCs/>
          <w:szCs w:val="22"/>
        </w:rPr>
        <w:t>)</w:t>
      </w:r>
      <w:r w:rsidRPr="00BB7F38">
        <w:rPr>
          <w:rFonts w:cs="Arial"/>
          <w:iCs/>
          <w:szCs w:val="22"/>
        </w:rPr>
        <w:t xml:space="preserve"> </w:t>
      </w:r>
      <w:r w:rsidR="002E1611">
        <w:rPr>
          <w:rFonts w:cs="Arial"/>
          <w:iCs/>
          <w:szCs w:val="22"/>
        </w:rPr>
        <w:t xml:space="preserve">in </w:t>
      </w:r>
      <w:r w:rsidRPr="00BB7F38">
        <w:rPr>
          <w:rFonts w:cs="Arial"/>
          <w:iCs/>
          <w:szCs w:val="22"/>
        </w:rPr>
        <w:t>§ 14</w:t>
      </w:r>
      <w:r w:rsidR="002E1611">
        <w:rPr>
          <w:rFonts w:cs="Arial"/>
          <w:iCs/>
          <w:szCs w:val="22"/>
        </w:rPr>
        <w:t xml:space="preserve"> gemäß</w:t>
      </w:r>
      <w:r w:rsidRPr="00BB7F38">
        <w:rPr>
          <w:rFonts w:cs="Arial"/>
          <w:iCs/>
          <w:szCs w:val="22"/>
        </w:rPr>
        <w:t xml:space="preserve"> den Vorgaben der Lissabon-Konvention geregelt.</w:t>
      </w:r>
    </w:p>
    <w:p w14:paraId="0D3900B4" w14:textId="6E8D2ADB" w:rsidR="00BB7F38" w:rsidRPr="00BB7F38" w:rsidRDefault="00BB7F38" w:rsidP="00BB7F38">
      <w:pPr>
        <w:spacing w:before="0" w:after="120" w:line="240" w:lineRule="auto"/>
        <w:rPr>
          <w:rFonts w:cs="Arial"/>
          <w:iCs/>
          <w:szCs w:val="22"/>
        </w:rPr>
      </w:pPr>
      <w:r w:rsidRPr="00BB7F38">
        <w:rPr>
          <w:rFonts w:cs="Arial"/>
          <w:iCs/>
          <w:szCs w:val="22"/>
        </w:rPr>
        <w:t xml:space="preserve">Nachgewiesene gleichwertige Kompetenzen und Fähigkeiten, die außerhalb des </w:t>
      </w:r>
      <w:r w:rsidR="00BD249F">
        <w:rPr>
          <w:rFonts w:cs="Arial"/>
          <w:iCs/>
          <w:szCs w:val="22"/>
        </w:rPr>
        <w:t>Hochschulbereichs</w:t>
      </w:r>
      <w:r w:rsidRPr="00BB7F38">
        <w:rPr>
          <w:rFonts w:cs="Arial"/>
          <w:iCs/>
          <w:szCs w:val="22"/>
        </w:rPr>
        <w:t xml:space="preserve"> erworben wurden, werden gemäß § 14 Abs. 8 bis zur Hälfte der für den Studiengang vor-gesehenen CP angerechnet.</w:t>
      </w:r>
    </w:p>
    <w:p w14:paraId="5EDCBAA7" w14:textId="77777777" w:rsidR="00BB7F38" w:rsidRPr="002E551F" w:rsidRDefault="00BB7F38" w:rsidP="002E551F">
      <w:pPr>
        <w:rPr>
          <w:rFonts w:cs="Arial"/>
          <w:b/>
          <w:color w:val="A71930"/>
          <w:szCs w:val="22"/>
        </w:rPr>
      </w:pPr>
      <w:r w:rsidRPr="002E551F">
        <w:rPr>
          <w:rFonts w:cs="Arial"/>
          <w:b/>
          <w:color w:val="A71930"/>
          <w:szCs w:val="22"/>
        </w:rPr>
        <w:t>Entscheidungsvorschlag</w:t>
      </w:r>
    </w:p>
    <w:p w14:paraId="1268A4D6" w14:textId="54F17A86" w:rsidR="00125CDE" w:rsidRDefault="00BB7F38" w:rsidP="00BB7F38">
      <w:pPr>
        <w:spacing w:before="0" w:after="120" w:line="240" w:lineRule="auto"/>
        <w:rPr>
          <w:rFonts w:cs="Arial"/>
          <w:iCs/>
          <w:szCs w:val="22"/>
        </w:rPr>
      </w:pPr>
      <w:r w:rsidRPr="00BB7F38">
        <w:rPr>
          <w:rFonts w:cs="Arial"/>
          <w:iCs/>
          <w:szCs w:val="22"/>
        </w:rPr>
        <w:t>Das Kriterium ist erfüllt.</w:t>
      </w:r>
    </w:p>
    <w:p w14:paraId="06E55C7C" w14:textId="77777777" w:rsidR="002E551F" w:rsidRPr="00125CDE" w:rsidRDefault="002E551F" w:rsidP="00BB7F38">
      <w:pPr>
        <w:spacing w:before="0" w:after="120" w:line="240" w:lineRule="auto"/>
        <w:rPr>
          <w:rFonts w:cs="Arial"/>
          <w:szCs w:val="22"/>
          <w:lang w:eastAsia="en-US"/>
        </w:rPr>
      </w:pPr>
    </w:p>
    <w:p w14:paraId="4213D2FD" w14:textId="77777777" w:rsidR="009C691A" w:rsidRPr="00457100" w:rsidRDefault="00091E5E" w:rsidP="00CC2409">
      <w:pPr>
        <w:pStyle w:val="berschrift1"/>
        <w:spacing w:before="0"/>
        <w:rPr>
          <w:rFonts w:cs="Arial"/>
          <w:szCs w:val="22"/>
        </w:rPr>
      </w:pPr>
      <w:bookmarkStart w:id="35" w:name="_Besondere_Kriterien_für"/>
      <w:bookmarkStart w:id="36" w:name="_Toc141346973"/>
      <w:bookmarkEnd w:id="35"/>
      <w:r w:rsidRPr="00457100">
        <w:rPr>
          <w:rFonts w:cs="Arial"/>
          <w:szCs w:val="22"/>
        </w:rPr>
        <w:t>Gutachten</w:t>
      </w:r>
      <w:r w:rsidR="00392FA9" w:rsidRPr="00457100">
        <w:rPr>
          <w:rFonts w:cs="Arial"/>
          <w:szCs w:val="22"/>
        </w:rPr>
        <w:t xml:space="preserve">: </w:t>
      </w:r>
      <w:r w:rsidR="005E027A" w:rsidRPr="00457100">
        <w:rPr>
          <w:rFonts w:cs="Arial"/>
          <w:szCs w:val="22"/>
        </w:rPr>
        <w:t>Erfüllung der fachlich-inhaltlichen Kriterien</w:t>
      </w:r>
      <w:bookmarkEnd w:id="36"/>
    </w:p>
    <w:p w14:paraId="360C9D19" w14:textId="2EC02073" w:rsidR="006E5F14" w:rsidRDefault="006E5F14" w:rsidP="00CC2409">
      <w:pPr>
        <w:pStyle w:val="berschrift2"/>
      </w:pPr>
      <w:bookmarkStart w:id="37" w:name="_Toc508710876"/>
      <w:bookmarkStart w:id="38" w:name="_Toc141346974"/>
      <w:r w:rsidRPr="00457100">
        <w:t xml:space="preserve">Schwerpunkte der Bewertung </w:t>
      </w:r>
      <w:r w:rsidR="00980547" w:rsidRPr="00457100">
        <w:t>/</w:t>
      </w:r>
      <w:r w:rsidRPr="00457100">
        <w:t xml:space="preserve"> Fokus der Qualitätsentwicklung</w:t>
      </w:r>
      <w:bookmarkEnd w:id="37"/>
      <w:bookmarkEnd w:id="38"/>
    </w:p>
    <w:p w14:paraId="48841C56" w14:textId="422EB589" w:rsidR="00B63DF3" w:rsidRDefault="00B63DF3" w:rsidP="00B63DF3">
      <w:bookmarkStart w:id="39" w:name="_Toc141346975"/>
      <w:r>
        <w:t xml:space="preserve">Bei dem Verfahren handelt es sich um die </w:t>
      </w:r>
      <w:r w:rsidRPr="00B63DF3">
        <w:t xml:space="preserve">Reakkreditierung des Masterstudiengangs „Psychologie mit Schwerpunkt Klinische Psychologie und Psychotherapie“ (nach altem </w:t>
      </w:r>
      <w:r w:rsidR="00AC7EEE" w:rsidRPr="00AC7EEE">
        <w:rPr>
          <w:iCs/>
        </w:rPr>
        <w:t>PsychThG</w:t>
      </w:r>
      <w:r w:rsidRPr="00B63DF3">
        <w:t xml:space="preserve">). Dieser Masterstudiengang ermöglicht </w:t>
      </w:r>
      <w:r w:rsidR="00047BA3">
        <w:t xml:space="preserve">es </w:t>
      </w:r>
      <w:r w:rsidRPr="00B63DF3">
        <w:t>Studierenden, die vor dem 01.09.2020 ein Bachelorstudium der Psychologie begonnen haben, im Rahmen der gesetzlichen Übergangsfrist den alten Qualifikationsweg zur Approbation als Psychotherapeut:in. Nach Ablauf der Übergangsfrist</w:t>
      </w:r>
      <w:r>
        <w:t xml:space="preserve"> soll</w:t>
      </w:r>
      <w:r w:rsidRPr="00B63DF3">
        <w:t xml:space="preserve"> der Masterstudiengang bei ausreichend Nachfrage weiter angeboten </w:t>
      </w:r>
      <w:r>
        <w:t>werden und</w:t>
      </w:r>
      <w:r w:rsidRPr="00B63DF3">
        <w:t xml:space="preserve"> Studierende dann für klinisch-psychologische Tätigkeiten</w:t>
      </w:r>
      <w:r>
        <w:t xml:space="preserve"> qualifizieren</w:t>
      </w:r>
      <w:r w:rsidRPr="00B63DF3">
        <w:t xml:space="preserve">, die keine Weiterbildung/Approbation erfordern. Der Qualifikationsweg zur Approbation als Psychotherapeut:in ist dann nach derzeitiger Gesetzeslage nur noch über den Masterstudiengang </w:t>
      </w:r>
      <w:r w:rsidR="00BE68F9">
        <w:t>„</w:t>
      </w:r>
      <w:r w:rsidRPr="00B63DF3">
        <w:t>Psychologie mit Schwerpunkt Klinische Psychologie und Psychotherapie (nach PsychThG 2019)</w:t>
      </w:r>
      <w:r w:rsidR="00BE68F9">
        <w:t>“</w:t>
      </w:r>
      <w:r w:rsidRPr="00B63DF3">
        <w:t xml:space="preserve"> möglich</w:t>
      </w:r>
      <w:r w:rsidR="00BE68F9">
        <w:t>, der an</w:t>
      </w:r>
      <w:r w:rsidRPr="00B63DF3">
        <w:t xml:space="preserve"> der Hochschule bereits </w:t>
      </w:r>
      <w:r w:rsidR="00BE68F9">
        <w:t xml:space="preserve">parallel </w:t>
      </w:r>
      <w:r w:rsidRPr="00B63DF3">
        <w:t>angeboten</w:t>
      </w:r>
      <w:r w:rsidR="00BE68F9">
        <w:t xml:space="preserve"> wird</w:t>
      </w:r>
      <w:r w:rsidRPr="00B63DF3">
        <w:t>.</w:t>
      </w:r>
    </w:p>
    <w:p w14:paraId="139981F4" w14:textId="22D0B9D6" w:rsidR="00B63DF3" w:rsidRDefault="00B63DF3" w:rsidP="00B63DF3">
      <w:r w:rsidRPr="00B63DF3">
        <w:t xml:space="preserve">Die Gutachter:innen haben sich über die aktuelle Belegung des Studiengangs informiert und </w:t>
      </w:r>
      <w:r>
        <w:t>geprüft</w:t>
      </w:r>
      <w:r w:rsidRPr="00B63DF3">
        <w:t xml:space="preserve">, </w:t>
      </w:r>
      <w:r>
        <w:t>ob es an der MSH die</w:t>
      </w:r>
      <w:r w:rsidRPr="00B63DF3">
        <w:t xml:space="preserve"> Möglichkeit gibt, einen Abschluss nach den bisherigen Bestimmungen zu erwerben, ohne dabei qualitative Abstriche machen zu müssen.</w:t>
      </w:r>
      <w:r w:rsidR="006E51D6">
        <w:t xml:space="preserve"> </w:t>
      </w:r>
    </w:p>
    <w:p w14:paraId="47765D6A" w14:textId="272CD2A2" w:rsidR="003501A1" w:rsidRDefault="003501A1" w:rsidP="00B63DF3"/>
    <w:p w14:paraId="7D9946CC" w14:textId="77777777" w:rsidR="00BC5D2C" w:rsidRPr="00B63DF3" w:rsidRDefault="00BC5D2C" w:rsidP="00B63DF3"/>
    <w:p w14:paraId="0687564A" w14:textId="61783FB7" w:rsidR="006E5F14" w:rsidRDefault="006E5F14" w:rsidP="00CC2409">
      <w:pPr>
        <w:pStyle w:val="berschrift2"/>
      </w:pPr>
      <w:r w:rsidRPr="00457100">
        <w:t>Erf</w:t>
      </w:r>
      <w:r w:rsidR="00F9140D" w:rsidRPr="00457100">
        <w:t>ü</w:t>
      </w:r>
      <w:r w:rsidRPr="00457100">
        <w:t>llung der fachlich-inhaltlichen Kriterien</w:t>
      </w:r>
      <w:bookmarkEnd w:id="39"/>
    </w:p>
    <w:p w14:paraId="443B873E" w14:textId="570872D2" w:rsidR="00175A2E" w:rsidRDefault="00175A2E" w:rsidP="000E504B">
      <w:pPr>
        <w:spacing w:before="0" w:after="120" w:line="240" w:lineRule="auto"/>
        <w:ind w:left="567"/>
        <w:rPr>
          <w:rFonts w:cs="Arial"/>
          <w:i/>
          <w:sz w:val="18"/>
          <w:szCs w:val="18"/>
        </w:rPr>
      </w:pPr>
      <w:r w:rsidRPr="00FD370C">
        <w:rPr>
          <w:rFonts w:cs="Arial"/>
          <w:i/>
          <w:sz w:val="18"/>
          <w:szCs w:val="18"/>
        </w:rPr>
        <w:t xml:space="preserve">(gemäß Art. 3 Abs. 2 Satz 1 Nr. 4 </w:t>
      </w:r>
      <w:r w:rsidRPr="009D6FED">
        <w:rPr>
          <w:rFonts w:cs="Arial"/>
          <w:i/>
          <w:sz w:val="18"/>
          <w:szCs w:val="18"/>
        </w:rPr>
        <w:t>StAkkrStV</w:t>
      </w:r>
      <w:r>
        <w:rPr>
          <w:rFonts w:cs="Arial"/>
          <w:i/>
          <w:sz w:val="18"/>
          <w:szCs w:val="18"/>
        </w:rPr>
        <w:t xml:space="preserve"> </w:t>
      </w:r>
      <w:r w:rsidRPr="00FD370C">
        <w:rPr>
          <w:rFonts w:cs="Arial"/>
          <w:i/>
          <w:sz w:val="18"/>
          <w:szCs w:val="18"/>
        </w:rPr>
        <w:t xml:space="preserve">i.V. mit Art. 4 Abs. 3 Satz 2a </w:t>
      </w:r>
      <w:r w:rsidRPr="009D6FED">
        <w:rPr>
          <w:rFonts w:cs="Arial"/>
          <w:i/>
          <w:sz w:val="18"/>
          <w:szCs w:val="18"/>
        </w:rPr>
        <w:t>StAkkrStV</w:t>
      </w:r>
      <w:r>
        <w:rPr>
          <w:rFonts w:cs="Arial"/>
          <w:i/>
          <w:sz w:val="18"/>
          <w:szCs w:val="18"/>
        </w:rPr>
        <w:t xml:space="preserve"> </w:t>
      </w:r>
      <w:r w:rsidRPr="00FD370C">
        <w:rPr>
          <w:rFonts w:cs="Arial"/>
          <w:i/>
          <w:sz w:val="18"/>
          <w:szCs w:val="18"/>
        </w:rPr>
        <w:t>und §§ 11 bis 16; §§ 19-21 und § 24 Abs. 4 MRVO)</w:t>
      </w:r>
    </w:p>
    <w:p w14:paraId="7A29D1C7" w14:textId="77777777" w:rsidR="004A12CD" w:rsidRPr="004A12CD" w:rsidRDefault="004A12CD" w:rsidP="000E504B">
      <w:pPr>
        <w:spacing w:before="0" w:after="120" w:line="240" w:lineRule="auto"/>
        <w:rPr>
          <w:rFonts w:cs="Arial"/>
          <w:szCs w:val="22"/>
        </w:rPr>
      </w:pPr>
    </w:p>
    <w:p w14:paraId="3110D0DC" w14:textId="6571CCEF" w:rsidR="005E027A" w:rsidRPr="00A67ABF" w:rsidRDefault="00470B78" w:rsidP="007244DF">
      <w:pPr>
        <w:pStyle w:val="berschrift3"/>
        <w:numPr>
          <w:ilvl w:val="0"/>
          <w:numId w:val="0"/>
        </w:numPr>
        <w:spacing w:before="0"/>
        <w:ind w:left="567" w:hanging="567"/>
        <w:rPr>
          <w:b w:val="0"/>
          <w:bCs w:val="0"/>
        </w:rPr>
      </w:pPr>
      <w:bookmarkStart w:id="40" w:name="_Qualifikationsziele_und_Abschlussni"/>
      <w:bookmarkStart w:id="41" w:name="_Toc141346976"/>
      <w:bookmarkEnd w:id="40"/>
      <w:r w:rsidRPr="00457100">
        <w:t>Qualifikationsziele und Abschlussniveau</w:t>
      </w:r>
      <w:r w:rsidR="00B86E28" w:rsidRPr="00457100">
        <w:t xml:space="preserve"> </w:t>
      </w:r>
      <w:hyperlink w:anchor="Qualifikationsziele" w:history="1">
        <w:r w:rsidR="00B86E28" w:rsidRPr="00C17FA1">
          <w:rPr>
            <w:rStyle w:val="Hyperlink"/>
            <w:rFonts w:cs="Arial"/>
          </w:rPr>
          <w:t>(§ 11 MRVO)</w:t>
        </w:r>
        <w:bookmarkEnd w:id="41"/>
      </w:hyperlink>
    </w:p>
    <w:p w14:paraId="6A1A35D6" w14:textId="3161CA49" w:rsidR="00FD370C" w:rsidRDefault="003336AB" w:rsidP="00F05881">
      <w:pPr>
        <w:rPr>
          <w:rFonts w:cs="Arial"/>
          <w:b/>
          <w:color w:val="A71930"/>
          <w:szCs w:val="22"/>
        </w:rPr>
      </w:pPr>
      <w:r>
        <w:rPr>
          <w:rFonts w:cs="Arial"/>
          <w:b/>
          <w:color w:val="A71930"/>
          <w:szCs w:val="22"/>
        </w:rPr>
        <w:t>Sachstand</w:t>
      </w:r>
      <w:r w:rsidRPr="00457100" w:rsidDel="003336AB">
        <w:rPr>
          <w:rFonts w:cs="Arial"/>
          <w:b/>
          <w:color w:val="A71930"/>
          <w:szCs w:val="22"/>
        </w:rPr>
        <w:t xml:space="preserve"> </w:t>
      </w:r>
    </w:p>
    <w:p w14:paraId="3092267D" w14:textId="3491560E" w:rsidR="0004130E" w:rsidRDefault="0004130E" w:rsidP="00D300CE">
      <w:bookmarkStart w:id="42" w:name="_Hlk135736029"/>
      <w:bookmarkStart w:id="43" w:name="_Hlk35861426"/>
      <w:r>
        <w:t xml:space="preserve">Der konsekutive Masterstudiengang </w:t>
      </w:r>
      <w:r w:rsidR="00834252" w:rsidRPr="00472E20">
        <w:rPr>
          <w:szCs w:val="22"/>
        </w:rPr>
        <w:t>„Psychologie mit Schwerpunkt Klinische Psychologie und Psychotherapie“</w:t>
      </w:r>
      <w:r w:rsidR="00834252" w:rsidRPr="00472E20">
        <w:rPr>
          <w:rFonts w:cs="Arial"/>
          <w:iCs/>
          <w:szCs w:val="22"/>
        </w:rPr>
        <w:t xml:space="preserve"> </w:t>
      </w:r>
      <w:r>
        <w:t xml:space="preserve">baut auf einem grundständigen Bachelorstudiengang in Psychologie auf. Mit dem Abschluss Master of Science weisen die Absolvent:innen nach, dass sie sowohl reflektierende </w:t>
      </w:r>
      <w:proofErr w:type="spellStart"/>
      <w:r>
        <w:t>Praktiker:innen</w:t>
      </w:r>
      <w:proofErr w:type="spellEnd"/>
      <w:r>
        <w:t xml:space="preserve"> sind, als auch mit hoher Kompetenz wissenschaftlich arbeiten können. Der Masterstudiengang zielt auf einen schnellen und erfolgreichen Berufseinstieg in den aktuellen Arbeitsmarkt ab. Studierende sollen während ihres Studiums wesentliche Kompetenzen und Fähigkeiten entwickeln, die für Arbeitgeber:innen in den klinischen Feldern </w:t>
      </w:r>
      <w:r w:rsidR="00BD249F">
        <w:t>essenziell</w:t>
      </w:r>
      <w:r>
        <w:t xml:space="preserve"> sind. Neben der Praxis- und Berufsorientierung sind dies unter anderem auch wissenschaftliche Fähigkeiten sowie Fähigkeiten zum Selbstmanagement, zum Selfmarketing und zur Selbstbehauptung im Beschäftigungssystem. Zusätzlich haben sich Absolvent:innen die Fähigkeit angeeignet, den eigenen Standpunkt in der Gesellschaft und dessen Rolle in der Gesund</w:t>
      </w:r>
      <w:r w:rsidRPr="00D300CE">
        <w:t xml:space="preserve">heitsversorgung zu reflektieren sowie systemisch-politische Prozesse in der Gesundheitsversorgung von anderen Personen zu reflektieren. </w:t>
      </w:r>
      <w:r w:rsidR="00D300CE" w:rsidRPr="00D300CE">
        <w:t xml:space="preserve">Laut § 5 der Studien- und Prüfungsordnung besteht </w:t>
      </w:r>
      <w:r w:rsidR="007D1203" w:rsidRPr="00D300CE">
        <w:t>d</w:t>
      </w:r>
      <w:r w:rsidR="007D1203">
        <w:t>ie</w:t>
      </w:r>
      <w:r w:rsidR="007D1203" w:rsidRPr="00D300CE">
        <w:t xml:space="preserve"> </w:t>
      </w:r>
      <w:r w:rsidR="00D300CE" w:rsidRPr="00D300CE">
        <w:t xml:space="preserve">Allgemeine Zielsetzung des Studiengangs in der Befähigung der Studierenden, nach Abschluss eine bestmögliche Kompetenz für eines der Praxisfelder der Klinischen Psychologie und Psychotherapie bzw. für den Einstieg in die psychotherapeutische Ausbildung in einem Richtlinienverfahren zur Verfügung zu stellen. </w:t>
      </w:r>
      <w:r w:rsidR="00C4092C" w:rsidRPr="00D300CE">
        <w:t xml:space="preserve">Studierende, die nach Abschluss des Masterstudiengangs die </w:t>
      </w:r>
      <w:proofErr w:type="spellStart"/>
      <w:r w:rsidR="00C4092C" w:rsidRPr="00D300CE">
        <w:t>Psychotherapeut</w:t>
      </w:r>
      <w:r w:rsidR="00D300CE">
        <w:t>:inn</w:t>
      </w:r>
      <w:r w:rsidR="00C4092C" w:rsidRPr="00D300CE">
        <w:t>enausbildung</w:t>
      </w:r>
      <w:proofErr w:type="spellEnd"/>
      <w:r w:rsidR="00C4092C" w:rsidRPr="00D300CE">
        <w:t xml:space="preserve"> absolvieren wollen, müssen nach derzeitiger Rechtsgrundlage vor dem 01.09.2020 ein Bachelorstudium der Psychologie begonnen haben. </w:t>
      </w:r>
      <w:r w:rsidRPr="00D300CE">
        <w:t xml:space="preserve">Im staatlich anerkannten Ausbildungsinstitut der MSH, dem HIP HafenCity Institut für Psychotherapie, besteht </w:t>
      </w:r>
      <w:r w:rsidR="00C4092C" w:rsidRPr="00D300CE">
        <w:t xml:space="preserve">dann </w:t>
      </w:r>
      <w:r w:rsidRPr="00D300CE">
        <w:t xml:space="preserve">die Möglichkeit eine postgraduale Ausbildung </w:t>
      </w:r>
      <w:proofErr w:type="spellStart"/>
      <w:r w:rsidRPr="00D300CE">
        <w:t>zum:zur</w:t>
      </w:r>
      <w:proofErr w:type="spellEnd"/>
      <w:r w:rsidRPr="00D300CE">
        <w:t xml:space="preserve"> Psychologischen Psychotherapeut:in in den Vertiefungsverfahren Verhaltenstherapie, Analytische Psychotherapie, </w:t>
      </w:r>
      <w:r w:rsidR="00AA3BAE">
        <w:t>t</w:t>
      </w:r>
      <w:r w:rsidRPr="00D300CE">
        <w:t xml:space="preserve">iefenpsychologisch-fundierte Psychotherapie oder eine Ausbildung </w:t>
      </w:r>
      <w:proofErr w:type="spellStart"/>
      <w:r w:rsidRPr="00D300CE">
        <w:t>zum:zur</w:t>
      </w:r>
      <w:proofErr w:type="spellEnd"/>
      <w:r w:rsidRPr="00D300CE">
        <w:t xml:space="preserve"> Kinder- und </w:t>
      </w:r>
      <w:proofErr w:type="spellStart"/>
      <w:r w:rsidRPr="00D300CE">
        <w:t>Jugendlichenpsychotherapeut:in</w:t>
      </w:r>
      <w:proofErr w:type="spellEnd"/>
      <w:r w:rsidRPr="00D300CE">
        <w:t xml:space="preserve"> (entsprechend der verfügbaren Ausbildungsplätze) anzuschließen. </w:t>
      </w:r>
    </w:p>
    <w:p w14:paraId="0733AEAB" w14:textId="77777777" w:rsidR="0004130E" w:rsidRDefault="0004130E" w:rsidP="00D300CE">
      <w:r>
        <w:t xml:space="preserve">Konkret werden mit dem Masterstudiengang folgende allgemeine Bildungsziele verfolgt: </w:t>
      </w:r>
    </w:p>
    <w:p w14:paraId="64C09296" w14:textId="5AF3C984" w:rsidR="0004130E" w:rsidRDefault="0004130E" w:rsidP="0004130E">
      <w:pPr>
        <w:pStyle w:val="Listenabsatz"/>
        <w:numPr>
          <w:ilvl w:val="0"/>
          <w:numId w:val="4"/>
        </w:numPr>
        <w:spacing w:line="276" w:lineRule="auto"/>
      </w:pPr>
      <w:r>
        <w:t>Erwerb der Fähigkeit zu wissenschaftlichem Denken und wissenschaftlich begründetem Handeln</w:t>
      </w:r>
      <w:r w:rsidR="00AA3BAE">
        <w:t>.</w:t>
      </w:r>
      <w:r>
        <w:t xml:space="preserve"> </w:t>
      </w:r>
    </w:p>
    <w:p w14:paraId="4AC474BC" w14:textId="461EF80B" w:rsidR="0004130E" w:rsidRDefault="0004130E" w:rsidP="0004130E">
      <w:pPr>
        <w:pStyle w:val="Listenabsatz"/>
        <w:numPr>
          <w:ilvl w:val="0"/>
          <w:numId w:val="4"/>
        </w:numPr>
        <w:spacing w:line="276" w:lineRule="auto"/>
      </w:pPr>
      <w:r>
        <w:t xml:space="preserve">Erwerb der fachspezifischen Kompetenzen, die benötigt werden, um die praktischen Anforderungen der künftigen </w:t>
      </w:r>
      <w:proofErr w:type="spellStart"/>
      <w:r>
        <w:t>Psycholog:innen</w:t>
      </w:r>
      <w:proofErr w:type="spellEnd"/>
      <w:r>
        <w:t xml:space="preserve"> selbstständig zu bewältigen einschließlich der Fähigkeit, sich ständig </w:t>
      </w:r>
      <w:r w:rsidR="00892635">
        <w:t>weiter</w:t>
      </w:r>
      <w:r w:rsidR="00F17B3F">
        <w:t xml:space="preserve"> </w:t>
      </w:r>
      <w:r w:rsidR="00892635">
        <w:t>zu</w:t>
      </w:r>
      <w:r w:rsidR="00F17B3F">
        <w:t xml:space="preserve"> </w:t>
      </w:r>
      <w:r w:rsidR="00892635">
        <w:t>qualifizieren</w:t>
      </w:r>
      <w:r>
        <w:t xml:space="preserve">. </w:t>
      </w:r>
    </w:p>
    <w:p w14:paraId="6DBF2DE1" w14:textId="4B20A010" w:rsidR="0004130E" w:rsidRDefault="0004130E" w:rsidP="0004130E">
      <w:pPr>
        <w:pStyle w:val="Listenabsatz"/>
        <w:numPr>
          <w:ilvl w:val="0"/>
          <w:numId w:val="4"/>
        </w:numPr>
        <w:spacing w:line="276" w:lineRule="auto"/>
      </w:pPr>
      <w:r>
        <w:lastRenderedPageBreak/>
        <w:t>Vermittlung grundlegender theoretischer Kenntnisse sowie eines breiten Basiswissens der Klinischen Psychologie und Psychotherapie</w:t>
      </w:r>
      <w:r w:rsidR="00AA3BAE">
        <w:t>.</w:t>
      </w:r>
    </w:p>
    <w:p w14:paraId="5A500BEB" w14:textId="7655021B" w:rsidR="0004130E" w:rsidRDefault="0004130E" w:rsidP="0004130E">
      <w:pPr>
        <w:pStyle w:val="Listenabsatz"/>
        <w:numPr>
          <w:ilvl w:val="0"/>
          <w:numId w:val="4"/>
        </w:numPr>
        <w:spacing w:line="276" w:lineRule="auto"/>
      </w:pPr>
      <w:r>
        <w:t>Erwerb wesentlicher Methodenkenntnisse sowie fachübergreifenden Wissens zu forschungsbezogenen und wissenschaftstheoretischen Fragen der Klinischen Psychologie und Psychotherapie</w:t>
      </w:r>
      <w:r w:rsidR="00AA3BAE">
        <w:t>.</w:t>
      </w:r>
    </w:p>
    <w:p w14:paraId="4BE627E3" w14:textId="4C778D68" w:rsidR="0004130E" w:rsidRDefault="0004130E" w:rsidP="0004130E">
      <w:pPr>
        <w:pStyle w:val="Listenabsatz"/>
        <w:numPr>
          <w:ilvl w:val="0"/>
          <w:numId w:val="4"/>
        </w:numPr>
        <w:spacing w:line="276" w:lineRule="auto"/>
      </w:pPr>
      <w:r>
        <w:t>Kennenlernen der wichtigsten klinisch-psychologischen und psychotherapeutischen Praxisfelder</w:t>
      </w:r>
      <w:r w:rsidR="00AA3BAE">
        <w:t>.</w:t>
      </w:r>
    </w:p>
    <w:p w14:paraId="5795106C" w14:textId="7643FD83" w:rsidR="0004130E" w:rsidRDefault="0004130E" w:rsidP="0004130E">
      <w:pPr>
        <w:pStyle w:val="Listenabsatz"/>
        <w:numPr>
          <w:ilvl w:val="0"/>
          <w:numId w:val="4"/>
        </w:numPr>
        <w:spacing w:line="276" w:lineRule="auto"/>
      </w:pPr>
      <w:r>
        <w:t xml:space="preserve">Erwerb grundlegender Handlungskompetenzen in diesen </w:t>
      </w:r>
      <w:r w:rsidR="00BD249F">
        <w:t>Tätigkeitsfeldern</w:t>
      </w:r>
      <w:r w:rsidR="00AA3BAE">
        <w:t>.</w:t>
      </w:r>
      <w:r>
        <w:t xml:space="preserve"> </w:t>
      </w:r>
    </w:p>
    <w:p w14:paraId="0CA3DABA" w14:textId="332C43A1" w:rsidR="0004130E" w:rsidRDefault="0004130E" w:rsidP="0004130E">
      <w:pPr>
        <w:pStyle w:val="Listenabsatz"/>
        <w:numPr>
          <w:ilvl w:val="0"/>
          <w:numId w:val="4"/>
        </w:numPr>
        <w:spacing w:line="276" w:lineRule="auto"/>
      </w:pPr>
      <w:r>
        <w:t>Sammlung von Erfahrungen mit (eigenständiger) psychologischer Forschung</w:t>
      </w:r>
      <w:r w:rsidR="00AA3BAE">
        <w:t>.</w:t>
      </w:r>
    </w:p>
    <w:p w14:paraId="050ABCBC" w14:textId="1C72B260" w:rsidR="0004130E" w:rsidRDefault="0004130E" w:rsidP="0004130E">
      <w:pPr>
        <w:pStyle w:val="Listenabsatz"/>
        <w:numPr>
          <w:ilvl w:val="0"/>
          <w:numId w:val="4"/>
        </w:numPr>
        <w:spacing w:line="276" w:lineRule="auto"/>
      </w:pPr>
      <w:r>
        <w:t>Erlernen der Fähigkeit zu interdisziplinärer Zusammenarbeit</w:t>
      </w:r>
      <w:r w:rsidR="00AA3BAE">
        <w:t>.</w:t>
      </w:r>
      <w:r>
        <w:t xml:space="preserve"> </w:t>
      </w:r>
    </w:p>
    <w:p w14:paraId="07F71D64" w14:textId="2896467B" w:rsidR="0004130E" w:rsidRDefault="0004130E" w:rsidP="0004130E">
      <w:pPr>
        <w:pStyle w:val="Listenabsatz"/>
        <w:numPr>
          <w:ilvl w:val="0"/>
          <w:numId w:val="4"/>
        </w:numPr>
        <w:spacing w:line="276" w:lineRule="auto"/>
      </w:pPr>
      <w:r>
        <w:t>Vermittlung allgemeiner Fähigkeiten ("Schlüsselqualifikationen"), die implizit in der Lehrtätigkeit der Lehrenden verankert ist</w:t>
      </w:r>
      <w:r w:rsidR="00AA3BAE">
        <w:t>.</w:t>
      </w:r>
    </w:p>
    <w:p w14:paraId="2E2F356F" w14:textId="38B38E26" w:rsidR="0004130E" w:rsidRDefault="00BD249F" w:rsidP="0004130E">
      <w:r>
        <w:t>Ferner</w:t>
      </w:r>
      <w:r w:rsidR="0004130E">
        <w:t xml:space="preserve"> wird als Bildungsziel die Befähigung zum Umgang mit fremdsprachlicher, i.d.R. englischsprachiger Literatur und zur Teilnahme an fremdsprachlichen Tagungen</w:t>
      </w:r>
      <w:r w:rsidR="00AA3BAE">
        <w:t xml:space="preserve"> und</w:t>
      </w:r>
      <w:r w:rsidR="0004130E">
        <w:t xml:space="preserve"> Weiterbildungsangeboten verfolgt. Die Qualifikationsziele des Masterstudiengangs orientieren sich an der Qualifikationsstufe 2 des Qualifikationsrahmens für deutsche Hochschulabschlüsse.</w:t>
      </w:r>
    </w:p>
    <w:p w14:paraId="2ADA151A" w14:textId="67296522" w:rsidR="00CF5A62" w:rsidRPr="00D300CE" w:rsidRDefault="00C4092C" w:rsidP="00C4092C">
      <w:r w:rsidRPr="000F6E7A">
        <w:t xml:space="preserve">Tätigkeitsfelder </w:t>
      </w:r>
      <w:r w:rsidR="00D300CE">
        <w:t xml:space="preserve">für Absolvent:innen </w:t>
      </w:r>
      <w:r w:rsidRPr="000F6E7A">
        <w:t xml:space="preserve">sind </w:t>
      </w:r>
      <w:r w:rsidR="0028595A">
        <w:t xml:space="preserve">laut Hochschule </w:t>
      </w:r>
      <w:r w:rsidR="00BD249F">
        <w:t>unter anderem</w:t>
      </w:r>
      <w:r w:rsidRPr="000F6E7A">
        <w:t xml:space="preserve"> psychologische Beratung und Interventionen im Krankenhaus, in der medizinischen Rehabilitation, im medizinischen Versorgungszentrum, in Beratungsstellen, einer Praxis oder in der Gesundheits- und Versorgungsforschung.</w:t>
      </w:r>
    </w:p>
    <w:bookmarkEnd w:id="42"/>
    <w:bookmarkEnd w:id="43"/>
    <w:p w14:paraId="647F9A53" w14:textId="65A01D75" w:rsidR="00FD370C" w:rsidRDefault="003C6149" w:rsidP="00F05881">
      <w:pPr>
        <w:rPr>
          <w:rFonts w:cs="Arial"/>
          <w:i/>
          <w:szCs w:val="22"/>
        </w:rPr>
      </w:pPr>
      <w:r w:rsidRPr="00457100">
        <w:rPr>
          <w:rFonts w:cs="Arial"/>
          <w:b/>
          <w:color w:val="A71930"/>
          <w:szCs w:val="22"/>
        </w:rPr>
        <w:t>Bewertung: Stärken und Entwicklungsbedarf</w:t>
      </w:r>
      <w:r w:rsidR="00C8635C">
        <w:rPr>
          <w:rFonts w:cs="Arial"/>
          <w:b/>
          <w:color w:val="A71930"/>
          <w:szCs w:val="22"/>
        </w:rPr>
        <w:t xml:space="preserve"> </w:t>
      </w:r>
    </w:p>
    <w:p w14:paraId="6DDBCC41" w14:textId="5477DAE5" w:rsidR="00834252" w:rsidRDefault="00813D2E" w:rsidP="00456831">
      <w:r w:rsidRPr="00813D2E">
        <w:t xml:space="preserve">Die </w:t>
      </w:r>
      <w:r w:rsidR="00B814D3">
        <w:t>Gutachter:innen</w:t>
      </w:r>
      <w:r w:rsidRPr="00813D2E">
        <w:t xml:space="preserve"> </w:t>
      </w:r>
      <w:r w:rsidR="00834252" w:rsidRPr="00834252">
        <w:t xml:space="preserve">halten </w:t>
      </w:r>
      <w:r w:rsidR="00B814D3">
        <w:t xml:space="preserve">den Studiengang, der es den </w:t>
      </w:r>
      <w:r w:rsidR="00834252" w:rsidRPr="00834252">
        <w:t>Studierenden</w:t>
      </w:r>
      <w:r w:rsidR="00B814D3">
        <w:t xml:space="preserve"> ermöglicht</w:t>
      </w:r>
      <w:r w:rsidR="00834252" w:rsidRPr="00834252">
        <w:t xml:space="preserve">, ihren Psychotherapieabschluss nach altem </w:t>
      </w:r>
      <w:r w:rsidR="00AC7EEE">
        <w:rPr>
          <w:rFonts w:cs="Arial"/>
          <w:iCs/>
        </w:rPr>
        <w:t>PsychThG</w:t>
      </w:r>
      <w:r w:rsidR="00834252" w:rsidRPr="00834252">
        <w:t xml:space="preserve"> </w:t>
      </w:r>
      <w:r w:rsidR="00B814D3">
        <w:t>abzuschließen</w:t>
      </w:r>
      <w:r w:rsidR="00AA3BAE">
        <w:t>,</w:t>
      </w:r>
      <w:r w:rsidR="00B814D3">
        <w:t xml:space="preserve"> </w:t>
      </w:r>
      <w:r w:rsidR="00367B70">
        <w:t xml:space="preserve">aktuell noch </w:t>
      </w:r>
      <w:r w:rsidR="00B814D3">
        <w:t xml:space="preserve">für sinnvoll und notwendig. </w:t>
      </w:r>
      <w:r w:rsidR="00E54097" w:rsidRPr="00E54097">
        <w:t>Dies gilt nicht nur für diejenigen, die ihren Bachelorabschluss an der MSH absolviert haben, sondern auch für externe Studierende.</w:t>
      </w:r>
      <w:r w:rsidR="00E54097">
        <w:t xml:space="preserve"> </w:t>
      </w:r>
      <w:r w:rsidR="00834252">
        <w:rPr>
          <w:rStyle w:val="main-content-wrap"/>
        </w:rPr>
        <w:t>Die MSH garantiert allen Studierenden</w:t>
      </w:r>
      <w:r w:rsidR="00B814D3">
        <w:rPr>
          <w:rStyle w:val="main-content-wrap"/>
        </w:rPr>
        <w:t xml:space="preserve"> auf ihrer Website,</w:t>
      </w:r>
      <w:r w:rsidR="00834252">
        <w:rPr>
          <w:rStyle w:val="main-content-wrap"/>
        </w:rPr>
        <w:t xml:space="preserve"> die bis zum Sommersemester 2020 </w:t>
      </w:r>
      <w:r w:rsidR="00367B70">
        <w:rPr>
          <w:rStyle w:val="main-content-wrap"/>
        </w:rPr>
        <w:t>ihr Psychologiestudium begonnen</w:t>
      </w:r>
      <w:r w:rsidR="00834252">
        <w:rPr>
          <w:rStyle w:val="main-content-wrap"/>
        </w:rPr>
        <w:t xml:space="preserve"> haben, dass sie ihr Studium </w:t>
      </w:r>
      <w:r w:rsidR="00367B70">
        <w:rPr>
          <w:rStyle w:val="main-content-wrap"/>
        </w:rPr>
        <w:t xml:space="preserve">an der MSH noch </w:t>
      </w:r>
      <w:r w:rsidR="00834252">
        <w:rPr>
          <w:rStyle w:val="main-content-wrap"/>
        </w:rPr>
        <w:t>erfolgreich abschließen können.</w:t>
      </w:r>
      <w:r w:rsidR="00E54097">
        <w:rPr>
          <w:rStyle w:val="main-content-wrap"/>
        </w:rPr>
        <w:t xml:space="preserve"> </w:t>
      </w:r>
      <w:r w:rsidR="00E54097" w:rsidRPr="00E54097">
        <w:rPr>
          <w:rStyle w:val="main-content-wrap"/>
        </w:rPr>
        <w:t xml:space="preserve">Im staatlich anerkannten Ausbildungsinstitut der MSH dem HIP HafenCity Institut für Psychotherapie besteht weiterhin die Möglichkeit, im Anschluss an das Masterstudium eine postgraduale Ausbildung zu Psychologischen </w:t>
      </w:r>
      <w:proofErr w:type="spellStart"/>
      <w:r w:rsidR="00E54097">
        <w:rPr>
          <w:rStyle w:val="main-content-wrap"/>
        </w:rPr>
        <w:t>Psychotherapeut:innen</w:t>
      </w:r>
      <w:proofErr w:type="spellEnd"/>
      <w:r w:rsidR="00E54097" w:rsidRPr="00E54097">
        <w:rPr>
          <w:rStyle w:val="main-content-wrap"/>
        </w:rPr>
        <w:t xml:space="preserve"> in den Vertiefungsverfahren Verhaltenstherapie, Analytische Psychotherapie, Tiefenpsychologisch-fundierte Psychotherapie oder eine Ausbildung </w:t>
      </w:r>
      <w:proofErr w:type="spellStart"/>
      <w:r w:rsidR="00E54097" w:rsidRPr="00E54097">
        <w:rPr>
          <w:rStyle w:val="main-content-wrap"/>
        </w:rPr>
        <w:t>zu</w:t>
      </w:r>
      <w:r w:rsidR="00AA3BAE">
        <w:rPr>
          <w:rStyle w:val="main-content-wrap"/>
        </w:rPr>
        <w:t>m:zur</w:t>
      </w:r>
      <w:proofErr w:type="spellEnd"/>
      <w:r w:rsidR="00E54097" w:rsidRPr="00E54097">
        <w:rPr>
          <w:rStyle w:val="main-content-wrap"/>
        </w:rPr>
        <w:t xml:space="preserve"> Kinder- und </w:t>
      </w:r>
      <w:proofErr w:type="spellStart"/>
      <w:r w:rsidR="00E54097" w:rsidRPr="00E54097">
        <w:rPr>
          <w:rStyle w:val="main-content-wrap"/>
        </w:rPr>
        <w:t>Jugendlichenpsychotherapeut</w:t>
      </w:r>
      <w:r w:rsidR="00AC7EEE">
        <w:rPr>
          <w:rStyle w:val="main-content-wrap"/>
        </w:rPr>
        <w:t>:in</w:t>
      </w:r>
      <w:proofErr w:type="spellEnd"/>
      <w:r w:rsidR="00E54097" w:rsidRPr="00E54097">
        <w:rPr>
          <w:rStyle w:val="main-content-wrap"/>
        </w:rPr>
        <w:t xml:space="preserve"> (entsprechend der verfügbaren Ausbildungsplätze) </w:t>
      </w:r>
      <w:r w:rsidR="00367B70">
        <w:rPr>
          <w:rStyle w:val="main-content-wrap"/>
        </w:rPr>
        <w:t xml:space="preserve">noch bis zum Jahr 2032 </w:t>
      </w:r>
      <w:r w:rsidR="00E54097" w:rsidRPr="00E54097">
        <w:rPr>
          <w:rStyle w:val="main-content-wrap"/>
        </w:rPr>
        <w:t>anzuschließen.</w:t>
      </w:r>
      <w:r w:rsidR="00E54097">
        <w:rPr>
          <w:rStyle w:val="main-content-wrap"/>
        </w:rPr>
        <w:t xml:space="preserve"> </w:t>
      </w:r>
    </w:p>
    <w:p w14:paraId="49E7D306" w14:textId="2E065068" w:rsidR="00EC677B" w:rsidRDefault="00834252" w:rsidP="00813D2E">
      <w:r w:rsidRPr="00834252">
        <w:t>Dies</w:t>
      </w:r>
      <w:r w:rsidR="00E54097">
        <w:t>es Angebot</w:t>
      </w:r>
      <w:r w:rsidRPr="00834252">
        <w:t xml:space="preserve"> wird </w:t>
      </w:r>
      <w:r w:rsidR="00E54097">
        <w:t xml:space="preserve">auch von den </w:t>
      </w:r>
      <w:r w:rsidRPr="00834252">
        <w:t xml:space="preserve">Studierenden als äußerst </w:t>
      </w:r>
      <w:r w:rsidR="00E54097">
        <w:t>hilfreich</w:t>
      </w:r>
      <w:r w:rsidRPr="00834252">
        <w:t xml:space="preserve"> angesehen, insbesondere vor dem Hintergrund, dass viele andere Hochschulen </w:t>
      </w:r>
      <w:r w:rsidR="00E54097">
        <w:t>schon ausschließlich auf</w:t>
      </w:r>
      <w:r w:rsidRPr="00834252">
        <w:t xml:space="preserve"> Studiengänge nach </w:t>
      </w:r>
      <w:r w:rsidR="00AC7EEE" w:rsidRPr="00AC7EEE">
        <w:t>PsychThG 2019</w:t>
      </w:r>
      <w:r w:rsidRPr="00834252">
        <w:t xml:space="preserve"> </w:t>
      </w:r>
      <w:r w:rsidR="00E54097">
        <w:t>umgestellt haben</w:t>
      </w:r>
      <w:r w:rsidRPr="00834252">
        <w:t>.</w:t>
      </w:r>
      <w:r w:rsidR="00EC677B" w:rsidRPr="00EC677B">
        <w:t xml:space="preserve"> Um sicherzustellen, dass alle Studierenden, die dies wünschen, auch die Möglichkeit haben, eine psychotherapeutische Ausbildung abzuschließen, sollte die Aufnahme von Studierenden mit diesem Ziel</w:t>
      </w:r>
      <w:r w:rsidR="00EC677B">
        <w:t>, nach Ansicht der Gutachter:innen,</w:t>
      </w:r>
      <w:r w:rsidR="00EC677B" w:rsidRPr="00EC677B">
        <w:t xml:space="preserve"> nicht </w:t>
      </w:r>
      <w:r w:rsidR="00EC677B" w:rsidRPr="00EC677B">
        <w:lastRenderedPageBreak/>
        <w:t xml:space="preserve">zu lange fortgesetzt werden. </w:t>
      </w:r>
      <w:r w:rsidR="00B814D3">
        <w:t xml:space="preserve">Die Hochschule berichtet, dass die Studierendenzahlen </w:t>
      </w:r>
      <w:r w:rsidR="00FD576B">
        <w:t xml:space="preserve">für das nächste Semester mit ca. 160 Studierenden, davon 60 % externe Bewerber:innen, </w:t>
      </w:r>
      <w:r w:rsidR="00B814D3">
        <w:t xml:space="preserve">noch </w:t>
      </w:r>
      <w:r w:rsidR="00892635">
        <w:t>unerwartet</w:t>
      </w:r>
      <w:r w:rsidR="00B814D3">
        <w:t xml:space="preserve"> hoch sind, dass aber in den nächsten Jahren die Zahlen zurückgehen werden. </w:t>
      </w:r>
      <w:r w:rsidR="00892635">
        <w:t>Derzeit</w:t>
      </w:r>
      <w:r w:rsidR="00B814D3">
        <w:t xml:space="preserve"> wird davon ausgegangen, </w:t>
      </w:r>
      <w:r w:rsidR="000045BD" w:rsidRPr="000045BD">
        <w:t>noch bis zum Wintersemester 2026/2027 Studierende in den Masterstudiengang aufzunehmen</w:t>
      </w:r>
      <w:r w:rsidR="00B814D3" w:rsidRPr="000045BD">
        <w:t>.</w:t>
      </w:r>
      <w:r w:rsidR="00B814D3">
        <w:t xml:space="preserve"> </w:t>
      </w:r>
      <w:r w:rsidR="00EC677B" w:rsidRPr="00EC677B">
        <w:t xml:space="preserve">Langfristig stellt sich </w:t>
      </w:r>
      <w:r w:rsidR="00EC677B">
        <w:t xml:space="preserve">daneben </w:t>
      </w:r>
      <w:r w:rsidR="00EC677B" w:rsidRPr="00EC677B">
        <w:t>die Frage, ob der Studiengang nach der Aufnahme der letzten Kohorte fortgeführt wird</w:t>
      </w:r>
      <w:r w:rsidR="00FD576B">
        <w:t>,</w:t>
      </w:r>
      <w:r w:rsidR="00456831">
        <w:t xml:space="preserve"> bzw. ob der Studiengang dann weiter nachgefragt wird.</w:t>
      </w:r>
      <w:r w:rsidR="00EC677B" w:rsidRPr="00EC677B">
        <w:t xml:space="preserve"> In diesem Fall sollte die Hochschule</w:t>
      </w:r>
      <w:r w:rsidR="008A04D4">
        <w:t>,</w:t>
      </w:r>
      <w:r w:rsidR="00EC677B" w:rsidRPr="00EC677B">
        <w:t xml:space="preserve"> </w:t>
      </w:r>
      <w:r w:rsidR="00B814D3">
        <w:t xml:space="preserve">nach </w:t>
      </w:r>
      <w:r w:rsidR="00367B70">
        <w:t>Ansicht der Gutachter:innen</w:t>
      </w:r>
      <w:r w:rsidR="008A04D4">
        <w:t>,</w:t>
      </w:r>
      <w:r w:rsidR="00367B70">
        <w:t xml:space="preserve"> </w:t>
      </w:r>
      <w:r w:rsidR="00EC677B" w:rsidRPr="00EC677B">
        <w:t>das Profil des Studiengangs</w:t>
      </w:r>
      <w:r w:rsidR="008A04D4">
        <w:t xml:space="preserve"> erneut überdenken</w:t>
      </w:r>
      <w:r w:rsidR="00EC677B" w:rsidRPr="00EC677B">
        <w:t>, möglicherweise in Richtung mehr Forschungsorientierung,  und die Kompetenzziele</w:t>
      </w:r>
      <w:r w:rsidR="00456831">
        <w:t xml:space="preserve"> dann auch </w:t>
      </w:r>
      <w:r w:rsidR="00EC677B" w:rsidRPr="00EC677B">
        <w:t xml:space="preserve">entsprechend anpassen. </w:t>
      </w:r>
    </w:p>
    <w:p w14:paraId="789AFCD7" w14:textId="169516A2" w:rsidR="00F17B3F" w:rsidRDefault="00EC677B" w:rsidP="00140944">
      <w:r>
        <w:t xml:space="preserve">Sie geben </w:t>
      </w:r>
      <w:r w:rsidR="00367B70">
        <w:t xml:space="preserve">dabei </w:t>
      </w:r>
      <w:r>
        <w:t xml:space="preserve">zu bedenken, dass für einen forschungsorientierten Masterstudiengang, ihrer Meinung nach, die im Modul 4 </w:t>
      </w:r>
      <w:r w:rsidR="00897C18">
        <w:t>„Forschungsmethod</w:t>
      </w:r>
      <w:r w:rsidR="000A7449">
        <w:t>ik</w:t>
      </w:r>
      <w:r w:rsidR="00897C18">
        <w:t xml:space="preserve"> I,</w:t>
      </w:r>
      <w:r w:rsidR="008A04D4">
        <w:t xml:space="preserve"> </w:t>
      </w:r>
      <w:r w:rsidR="00897C18">
        <w:t xml:space="preserve">II“ (10 CP) </w:t>
      </w:r>
      <w:r>
        <w:t>vermittelten Kompetenzen nicht mit anderen Hochschule</w:t>
      </w:r>
      <w:r w:rsidR="008A04D4">
        <w:t>n</w:t>
      </w:r>
      <w:r>
        <w:t xml:space="preserve"> mithalten können. </w:t>
      </w:r>
      <w:r w:rsidR="00897C18">
        <w:t>Laut Hochschule werden auch in den anderen Modulen, beispielsweise im Modul 2</w:t>
      </w:r>
      <w:r w:rsidR="00140944">
        <w:t xml:space="preserve"> „</w:t>
      </w:r>
      <w:r w:rsidR="00897C18">
        <w:t>Neurowissenschaften“ Forschungsinhalte vermittelt.</w:t>
      </w:r>
      <w:r w:rsidR="00106E57" w:rsidRPr="00106E57">
        <w:t xml:space="preserve"> </w:t>
      </w:r>
      <w:r w:rsidR="00106E57">
        <w:t>Grundsätzlich e</w:t>
      </w:r>
      <w:r w:rsidR="008A04D4">
        <w:t>mp</w:t>
      </w:r>
      <w:r w:rsidR="00106E57">
        <w:t xml:space="preserve">fehlen die Gutachter:innen, die methodischen und forschungsorientierten Inhalte im Studiengang breiter aufzustellen. </w:t>
      </w:r>
    </w:p>
    <w:p w14:paraId="0504E58E" w14:textId="41F53FBD" w:rsidR="00140944" w:rsidRDefault="00140944" w:rsidP="00140944">
      <w:r>
        <w:t xml:space="preserve">Die Hochschule berichtet, dass sie aktuell das Promotionsrecht beantragt hat. Auch jetzt schon werden Promotionsvorhaben der Studierenden in Kooperation unterstützt. Ein strukturiertes Promotionsprogramm ist in Planung. </w:t>
      </w:r>
    </w:p>
    <w:p w14:paraId="5BB4260E" w14:textId="70CC2B22" w:rsidR="00140944" w:rsidRPr="00140944" w:rsidRDefault="00EC677B" w:rsidP="00140944">
      <w:r w:rsidRPr="00EC677B">
        <w:t xml:space="preserve">Wichtig </w:t>
      </w:r>
      <w:r w:rsidR="00106E57">
        <w:t>ist den</w:t>
      </w:r>
      <w:r w:rsidRPr="00EC677B">
        <w:t xml:space="preserve"> Gutachter:innen, dass den Studierenden </w:t>
      </w:r>
      <w:r w:rsidR="00140944">
        <w:t xml:space="preserve">des Masterstudiengangs „Psychologie mit Schwerpunkt Klinische Psychologie und Psychotherapie“ </w:t>
      </w:r>
      <w:r w:rsidRPr="00EC677B">
        <w:t xml:space="preserve">zu jedem Zeitpunkt transparent vermittelt wird, welche beruflichen Möglichkeiten mit dem Abschluss dieses </w:t>
      </w:r>
      <w:r w:rsidR="0028595A">
        <w:t>Studiengangs</w:t>
      </w:r>
      <w:r w:rsidRPr="00EC677B">
        <w:t xml:space="preserve"> verbunden sind.</w:t>
      </w:r>
      <w:r w:rsidR="00DF6A49">
        <w:t xml:space="preserve"> Aktuell werden die Einschränkungen, die </w:t>
      </w:r>
      <w:r w:rsidR="008A04D4">
        <w:t xml:space="preserve">sich </w:t>
      </w:r>
      <w:r w:rsidR="00DF6A49">
        <w:t xml:space="preserve">aufgrund der gesetzlichen Regelung zur Ausbildung von </w:t>
      </w:r>
      <w:proofErr w:type="spellStart"/>
      <w:r w:rsidR="00DF6A49">
        <w:t>Psychotherapeut:innen</w:t>
      </w:r>
      <w:proofErr w:type="spellEnd"/>
      <w:r w:rsidR="00DF6A49">
        <w:t xml:space="preserve"> ergeben</w:t>
      </w:r>
      <w:r w:rsidR="00B814D3">
        <w:t>,</w:t>
      </w:r>
      <w:r w:rsidR="00DF6A49">
        <w:t xml:space="preserve"> transparent auf der Website dargestellt und im </w:t>
      </w:r>
      <w:r w:rsidR="00D8700A">
        <w:t xml:space="preserve">Auswahlgespräch thematisiert. </w:t>
      </w:r>
      <w:r w:rsidR="00140944" w:rsidRPr="00140944">
        <w:t>Die Eckdaten der Übergang</w:t>
      </w:r>
      <w:r w:rsidR="00AE0C1A">
        <w:t>s</w:t>
      </w:r>
      <w:r w:rsidR="00140944" w:rsidRPr="00140944">
        <w:t xml:space="preserve">regeln nach dem PsychThG § 27 werden auch im Studienvertrag festgehalten. </w:t>
      </w:r>
    </w:p>
    <w:p w14:paraId="11A50928" w14:textId="3EBE7782" w:rsidR="00813D2E" w:rsidRDefault="00D62DB3" w:rsidP="00813D2E">
      <w:r w:rsidRPr="00AB1AEE">
        <w:rPr>
          <w:lang w:eastAsia="en-US"/>
        </w:rPr>
        <w:t xml:space="preserve">Die Gutachter:innen sind aufgrund der zur Verfügung gestellten Unterlagen sowie der Gespräche mit den Programmverantwortlichen und Lehrenden der Auffassung, dass die im Selbstbericht dokumentierten und beschriebenen Qualifikationsziele mit den im Modulhandbuch formulierten Qualifikationszielen und Kompetenzen übereinstimmen. </w:t>
      </w:r>
      <w:r w:rsidR="00813D2E" w:rsidRPr="00813D2E">
        <w:t xml:space="preserve">Das Konzept des </w:t>
      </w:r>
      <w:r w:rsidR="00E54097">
        <w:t xml:space="preserve">Masterstudiengangs </w:t>
      </w:r>
      <w:r w:rsidR="00813D2E" w:rsidRPr="00813D2E">
        <w:t xml:space="preserve">ist </w:t>
      </w:r>
      <w:r w:rsidR="00E54097">
        <w:t>nach</w:t>
      </w:r>
      <w:r w:rsidR="00813D2E" w:rsidRPr="00813D2E">
        <w:t xml:space="preserve"> Ansicht </w:t>
      </w:r>
      <w:r w:rsidR="00E54097">
        <w:t xml:space="preserve">der Gutachter:innen </w:t>
      </w:r>
      <w:r w:rsidR="00897C18">
        <w:t xml:space="preserve">grundsätzlich </w:t>
      </w:r>
      <w:r w:rsidR="00813D2E" w:rsidRPr="00813D2E">
        <w:t>anspruchsvoll und stimmig. Es orientiert sich an Qualifikationszielen, die sowohl fachliche Aspekte als auch die wissenschaftliche Befä</w:t>
      </w:r>
      <w:r w:rsidR="00E54097">
        <w:t>h</w:t>
      </w:r>
      <w:r w:rsidR="00813D2E" w:rsidRPr="00813D2E">
        <w:t xml:space="preserve">igung umfassen. Die hohen Ansprüche der Hochschule bezogen auf die Persönlichkeitsentwicklung und die Entwicklung gesellschaftlichen Engagements werden nach Auskunft der Studierenden im Curriculum und </w:t>
      </w:r>
      <w:r w:rsidR="008A04D4">
        <w:t xml:space="preserve">im </w:t>
      </w:r>
      <w:r w:rsidR="00813D2E" w:rsidRPr="00813D2E">
        <w:t xml:space="preserve"> Department Psychologie in die Studienpraxis umgesetzt. Die </w:t>
      </w:r>
      <w:r w:rsidR="00106E57">
        <w:t>Gutachter:innen</w:t>
      </w:r>
      <w:r w:rsidR="00813D2E" w:rsidRPr="00813D2E">
        <w:t xml:space="preserve"> </w:t>
      </w:r>
      <w:r w:rsidR="00813D2E" w:rsidRPr="00813D2E">
        <w:lastRenderedPageBreak/>
        <w:t xml:space="preserve">schätzen die Qualifikationsziele als adäquat ein und kommen zu der Einschätzung, dass der Studiengang sowohl zur Aufnahme einer qualifizierten Erwerbstätigkeit </w:t>
      </w:r>
      <w:r w:rsidR="008A04D4">
        <w:t>(</w:t>
      </w:r>
      <w:r w:rsidR="00813D2E" w:rsidRPr="00813D2E">
        <w:t>vorzugsweise im klinischen Bereich</w:t>
      </w:r>
      <w:r w:rsidR="008A04D4">
        <w:t>)</w:t>
      </w:r>
      <w:r w:rsidR="00813D2E" w:rsidRPr="00813D2E">
        <w:t xml:space="preserve"> befähigt, als auch die Voraussetzungen für eine psychotherapeutische Ausbildung erfüllt.</w:t>
      </w:r>
    </w:p>
    <w:p w14:paraId="3D91B82C" w14:textId="1969F9E8" w:rsidR="004A12CD" w:rsidRDefault="00E57E52" w:rsidP="00813D2E">
      <w:r w:rsidRPr="0092045A">
        <w:t>Die</w:t>
      </w:r>
      <w:r>
        <w:t xml:space="preserve"> in den</w:t>
      </w:r>
      <w:r w:rsidRPr="0092045A">
        <w:t xml:space="preserve"> Modulbeschreibungen </w:t>
      </w:r>
      <w:r>
        <w:t>abgebildeten</w:t>
      </w:r>
      <w:r w:rsidRPr="0092045A">
        <w:t xml:space="preserve"> Kompetenzen entsprechen </w:t>
      </w:r>
      <w:r w:rsidR="00813D2E">
        <w:t xml:space="preserve">nach Ansicht der Gutachter:innen </w:t>
      </w:r>
      <w:r w:rsidRPr="0092045A">
        <w:t xml:space="preserve">den im Qualifikationsrahmen für deutsche Hochschulabschlüsse für das </w:t>
      </w:r>
      <w:r w:rsidRPr="00813D2E">
        <w:rPr>
          <w:bCs/>
        </w:rPr>
        <w:t>Masterniveau</w:t>
      </w:r>
      <w:r w:rsidRPr="0092045A">
        <w:t xml:space="preserve"> </w:t>
      </w:r>
      <w:r>
        <w:t>vorgesehenen</w:t>
      </w:r>
      <w:r w:rsidRPr="0092045A">
        <w:t xml:space="preserve"> Kompetenzdimensionen</w:t>
      </w:r>
      <w:r>
        <w:t xml:space="preserve"> und Niveaustufen. </w:t>
      </w:r>
    </w:p>
    <w:p w14:paraId="78F2FBDA" w14:textId="7E44B3E9" w:rsidR="003C6149" w:rsidRPr="00457100" w:rsidRDefault="003C6149" w:rsidP="007244DF">
      <w:pPr>
        <w:rPr>
          <w:rFonts w:cs="Arial"/>
          <w:color w:val="A71930"/>
          <w:szCs w:val="22"/>
        </w:rPr>
      </w:pPr>
      <w:r w:rsidRPr="00457100">
        <w:rPr>
          <w:rFonts w:cs="Arial"/>
          <w:b/>
          <w:color w:val="A71930"/>
          <w:szCs w:val="22"/>
        </w:rPr>
        <w:t>Entscheidungsvorschla</w:t>
      </w:r>
      <w:r w:rsidR="00F723CB">
        <w:rPr>
          <w:rFonts w:cs="Arial"/>
          <w:b/>
          <w:color w:val="A71930"/>
          <w:szCs w:val="22"/>
        </w:rPr>
        <w:t>g</w:t>
      </w:r>
    </w:p>
    <w:p w14:paraId="1CB4D8E7" w14:textId="7FDD0FDD" w:rsidR="003C6149" w:rsidRPr="00FD370C" w:rsidRDefault="000E2809" w:rsidP="00CF5A62">
      <w:pPr>
        <w:spacing w:before="0" w:after="120" w:line="240" w:lineRule="auto"/>
        <w:rPr>
          <w:rFonts w:cs="Arial"/>
          <w:i/>
          <w:szCs w:val="22"/>
        </w:rPr>
      </w:pPr>
      <w:r>
        <w:rPr>
          <w:rFonts w:cs="Arial"/>
          <w:szCs w:val="22"/>
        </w:rPr>
        <w:t>Das Kriterium ist e</w:t>
      </w:r>
      <w:r w:rsidRPr="00FD370C">
        <w:rPr>
          <w:rFonts w:cs="Arial"/>
          <w:szCs w:val="22"/>
        </w:rPr>
        <w:t>rfüllt</w:t>
      </w:r>
      <w:r>
        <w:rPr>
          <w:rFonts w:cs="Arial"/>
          <w:szCs w:val="22"/>
        </w:rPr>
        <w:t xml:space="preserve">. </w:t>
      </w:r>
    </w:p>
    <w:p w14:paraId="7747B430" w14:textId="77777777" w:rsidR="00367B70" w:rsidRDefault="003C6149" w:rsidP="00A257AB">
      <w:pPr>
        <w:rPr>
          <w:rFonts w:cs="Arial"/>
          <w:szCs w:val="22"/>
        </w:rPr>
      </w:pPr>
      <w:r w:rsidRPr="00FD370C">
        <w:rPr>
          <w:rFonts w:cs="Arial"/>
          <w:szCs w:val="22"/>
        </w:rPr>
        <w:t>Das Gutachter</w:t>
      </w:r>
      <w:r w:rsidR="00466760">
        <w:rPr>
          <w:rFonts w:cs="Arial"/>
          <w:szCs w:val="22"/>
        </w:rPr>
        <w:t>:innen</w:t>
      </w:r>
      <w:r w:rsidRPr="00FD370C">
        <w:rPr>
          <w:rFonts w:cs="Arial"/>
          <w:szCs w:val="22"/>
        </w:rPr>
        <w:t>gremium gibt folgende Empfehlungen:</w:t>
      </w:r>
      <w:r w:rsidR="00E90C44">
        <w:rPr>
          <w:rFonts w:cs="Arial"/>
          <w:szCs w:val="22"/>
        </w:rPr>
        <w:t xml:space="preserve"> </w:t>
      </w:r>
    </w:p>
    <w:p w14:paraId="37ADEF05" w14:textId="7C6FDE84" w:rsidR="003C6149" w:rsidRDefault="00342089" w:rsidP="00367B70">
      <w:pPr>
        <w:pStyle w:val="AufzhlungAuflagen"/>
      </w:pPr>
      <w:r>
        <w:t xml:space="preserve">Die methodischen und forschungsorientierten Inhalte </w:t>
      </w:r>
      <w:r w:rsidR="00367B70">
        <w:t xml:space="preserve">im Studiengang </w:t>
      </w:r>
      <w:r>
        <w:t xml:space="preserve">sollten umfassender vermittelt </w:t>
      </w:r>
      <w:r w:rsidR="00A257AB">
        <w:t>und</w:t>
      </w:r>
      <w:r>
        <w:t xml:space="preserve"> </w:t>
      </w:r>
      <w:r w:rsidR="00A257AB">
        <w:t xml:space="preserve">im </w:t>
      </w:r>
      <w:r>
        <w:t>Modulha</w:t>
      </w:r>
      <w:r w:rsidR="00A257AB">
        <w:t>n</w:t>
      </w:r>
      <w:r>
        <w:t xml:space="preserve">dbuch </w:t>
      </w:r>
      <w:r w:rsidR="00A257AB">
        <w:t>deutlicher abgebildet</w:t>
      </w:r>
      <w:r>
        <w:t xml:space="preserve"> werden.</w:t>
      </w:r>
    </w:p>
    <w:p w14:paraId="04E4F1F9" w14:textId="78B5EFBC" w:rsidR="00DF6A49" w:rsidRDefault="00DF6A49" w:rsidP="00367B70">
      <w:pPr>
        <w:pStyle w:val="AufzhlungAuflagen"/>
        <w:rPr>
          <w:rFonts w:cs="Arial"/>
          <w:szCs w:val="22"/>
        </w:rPr>
      </w:pPr>
      <w:bookmarkStart w:id="44" w:name="_Hlk147141002"/>
      <w:r>
        <w:rPr>
          <w:rFonts w:cs="Arial"/>
          <w:szCs w:val="22"/>
        </w:rPr>
        <w:t xml:space="preserve">Den Studierenden sollte weiterhin zu jedem Zeitpunkt transparent vermittelt werden, welche beruflichen Möglichkeiten mit dem Abschluss dieses </w:t>
      </w:r>
      <w:r w:rsidR="0028595A">
        <w:rPr>
          <w:rFonts w:cs="Arial"/>
          <w:szCs w:val="22"/>
        </w:rPr>
        <w:t>Studiengang</w:t>
      </w:r>
      <w:r>
        <w:rPr>
          <w:rFonts w:cs="Arial"/>
          <w:szCs w:val="22"/>
        </w:rPr>
        <w:t>s verbunden sind</w:t>
      </w:r>
      <w:r w:rsidR="0028595A" w:rsidRPr="0028595A">
        <w:t xml:space="preserve"> </w:t>
      </w:r>
      <w:r w:rsidR="0028595A">
        <w:t>und in welchem Zeitraum die konsekutive Psychotherapieausbildung begonnen und abgeschlossen werden muss.</w:t>
      </w:r>
    </w:p>
    <w:p w14:paraId="0C5E9C31" w14:textId="206A5931" w:rsidR="00AC7EEE" w:rsidRDefault="00AC7EEE" w:rsidP="00367B70">
      <w:pPr>
        <w:pStyle w:val="AufzhlungAuflagen"/>
        <w:rPr>
          <w:rFonts w:cs="Arial"/>
          <w:szCs w:val="22"/>
        </w:rPr>
      </w:pPr>
      <w:r>
        <w:rPr>
          <w:rFonts w:cs="Arial"/>
          <w:szCs w:val="22"/>
        </w:rPr>
        <w:t xml:space="preserve">Falls der Studiengang nach Aufnahme der letzten Studierenden, die eine </w:t>
      </w:r>
      <w:r>
        <w:rPr>
          <w:rStyle w:val="main-content-wrap"/>
        </w:rPr>
        <w:t xml:space="preserve">Ausbildung zu Psychologischen </w:t>
      </w:r>
      <w:proofErr w:type="spellStart"/>
      <w:r>
        <w:rPr>
          <w:rStyle w:val="main-content-wrap"/>
        </w:rPr>
        <w:t>Psychotherapeut:innen</w:t>
      </w:r>
      <w:proofErr w:type="spellEnd"/>
      <w:r>
        <w:rPr>
          <w:rStyle w:val="main-content-wrap"/>
        </w:rPr>
        <w:t xml:space="preserve"> nach altem </w:t>
      </w:r>
      <w:r>
        <w:rPr>
          <w:rFonts w:cs="Arial"/>
          <w:iCs/>
        </w:rPr>
        <w:t>PsychThG</w:t>
      </w:r>
      <w:r>
        <w:rPr>
          <w:rFonts w:cs="Arial"/>
          <w:szCs w:val="22"/>
        </w:rPr>
        <w:t xml:space="preserve"> anstreben</w:t>
      </w:r>
      <w:r w:rsidR="008A04D4">
        <w:rPr>
          <w:rFonts w:cs="Arial"/>
          <w:szCs w:val="22"/>
        </w:rPr>
        <w:t>,</w:t>
      </w:r>
      <w:r>
        <w:rPr>
          <w:rFonts w:cs="Arial"/>
          <w:szCs w:val="22"/>
        </w:rPr>
        <w:t xml:space="preserve"> weitergeführt wird, sollte das Profil des Studiengangs geschärft </w:t>
      </w:r>
      <w:r w:rsidR="00736BCB">
        <w:rPr>
          <w:rFonts w:cs="Arial"/>
          <w:szCs w:val="22"/>
        </w:rPr>
        <w:t xml:space="preserve">bzw. weiterentwickelt </w:t>
      </w:r>
      <w:r>
        <w:rPr>
          <w:rFonts w:cs="Arial"/>
          <w:szCs w:val="22"/>
        </w:rPr>
        <w:t xml:space="preserve">werden. </w:t>
      </w:r>
    </w:p>
    <w:p w14:paraId="4ABB9CAB" w14:textId="77777777" w:rsidR="00C30055" w:rsidRDefault="00C30055" w:rsidP="00917A45">
      <w:bookmarkStart w:id="45" w:name="_Schlüssiges_Studiengangskonzept_und"/>
      <w:bookmarkStart w:id="46" w:name="_Toc141346977"/>
      <w:bookmarkEnd w:id="44"/>
      <w:bookmarkEnd w:id="45"/>
    </w:p>
    <w:p w14:paraId="625522CB" w14:textId="6C351034" w:rsidR="00091E5E" w:rsidRDefault="00290DA5" w:rsidP="000E504B">
      <w:pPr>
        <w:pStyle w:val="berschrift3"/>
        <w:numPr>
          <w:ilvl w:val="0"/>
          <w:numId w:val="0"/>
        </w:numPr>
        <w:spacing w:before="0" w:after="120" w:line="240" w:lineRule="auto"/>
        <w:ind w:left="567" w:hanging="567"/>
      </w:pPr>
      <w:r w:rsidRPr="00457100">
        <w:t>Schlüssiges Studiengangskonzept und adäquate Umsetzung</w:t>
      </w:r>
      <w:r w:rsidR="00856902" w:rsidRPr="00457100">
        <w:t xml:space="preserve"> (§ 12 MRVO)</w:t>
      </w:r>
      <w:bookmarkEnd w:id="46"/>
    </w:p>
    <w:p w14:paraId="1A10472E" w14:textId="4551FA32" w:rsidR="00E0660C" w:rsidRPr="00E0660C" w:rsidRDefault="00E0660C" w:rsidP="007244DF">
      <w:pPr>
        <w:pStyle w:val="berschrift4"/>
        <w:spacing w:before="0"/>
      </w:pPr>
      <w:bookmarkStart w:id="47" w:name="_Toc141346978"/>
      <w:r w:rsidRPr="00E0660C">
        <w:t>Curriculum</w:t>
      </w:r>
      <w:r w:rsidR="000C6383">
        <w:t xml:space="preserve"> </w:t>
      </w:r>
      <w:hyperlink w:anchor="StudiengangskonzeptAbs1_1" w:history="1">
        <w:r w:rsidR="000C6383" w:rsidRPr="00C17FA1">
          <w:rPr>
            <w:rStyle w:val="Hyperlink"/>
          </w:rPr>
          <w:t>(</w:t>
        </w:r>
        <w:r w:rsidR="000C6383" w:rsidRPr="00C17FA1">
          <w:rPr>
            <w:rStyle w:val="Hyperlink"/>
            <w:rFonts w:cs="Arial"/>
          </w:rPr>
          <w:t>§ 12 Abs. 1 Sätze 1 bis 3 und 5 MRVO)</w:t>
        </w:r>
        <w:bookmarkEnd w:id="47"/>
      </w:hyperlink>
    </w:p>
    <w:p w14:paraId="0F3C2C5F" w14:textId="13A6404A" w:rsidR="00F723CB" w:rsidRDefault="003336AB" w:rsidP="007244DF">
      <w:pPr>
        <w:rPr>
          <w:rFonts w:cs="Arial"/>
          <w:b/>
          <w:color w:val="A71930"/>
          <w:szCs w:val="22"/>
        </w:rPr>
      </w:pPr>
      <w:r>
        <w:rPr>
          <w:rFonts w:cs="Arial"/>
          <w:b/>
          <w:color w:val="A71930"/>
          <w:szCs w:val="22"/>
        </w:rPr>
        <w:t>Sachstand</w:t>
      </w:r>
      <w:r w:rsidRPr="00457100" w:rsidDel="003336AB">
        <w:rPr>
          <w:rFonts w:cs="Arial"/>
          <w:b/>
          <w:color w:val="A71930"/>
          <w:szCs w:val="22"/>
        </w:rPr>
        <w:t xml:space="preserve"> </w:t>
      </w:r>
    </w:p>
    <w:p w14:paraId="445F0DC4" w14:textId="1E5E6493" w:rsidR="00C4092C" w:rsidRDefault="000053A7" w:rsidP="00C4092C">
      <w:pPr>
        <w:rPr>
          <w:bCs/>
        </w:rPr>
      </w:pPr>
      <w:r w:rsidRPr="000053A7">
        <w:t>Der 120 Credits umfassende Masterstudiengang „Psychologie mit Schwerpunkt Klinische Psychologie und Psychotherapie”</w:t>
      </w:r>
      <w:r>
        <w:rPr>
          <w:sz w:val="18"/>
          <w:szCs w:val="18"/>
        </w:rPr>
        <w:t xml:space="preserve"> </w:t>
      </w:r>
      <w:r w:rsidRPr="000053A7">
        <w:t>ist modular aufgebaut. Insgesamt sind im Studiengang 1</w:t>
      </w:r>
      <w:r w:rsidR="005E5C1C">
        <w:t>7</w:t>
      </w:r>
      <w:r>
        <w:t xml:space="preserve"> </w:t>
      </w:r>
      <w:r w:rsidRPr="000053A7">
        <w:t>Module vorgesehen, die alle studiert werden müssen. Pro Semester werden</w:t>
      </w:r>
      <w:r>
        <w:t xml:space="preserve"> </w:t>
      </w:r>
      <w:r w:rsidRPr="000053A7">
        <w:t xml:space="preserve">30 Credits und pro Studienjahr 60 Credits erworben. </w:t>
      </w:r>
      <w:r w:rsidR="00C4092C">
        <w:t xml:space="preserve">M14 (10 CP) ist als Wahlpflichtbereich konzipiert. Die Studierenden können innerhalb dieses Moduls eine disziplinäres und ein interdisziplinäres Wahlpflichtmodul mit </w:t>
      </w:r>
      <w:r w:rsidR="00C4092C" w:rsidRPr="00DF5105">
        <w:t xml:space="preserve">jeweils </w:t>
      </w:r>
      <w:r w:rsidR="008A04D4">
        <w:t>fünf</w:t>
      </w:r>
      <w:r w:rsidR="00C4092C" w:rsidRPr="00DF5105">
        <w:t xml:space="preserve"> CP aus dem Wahlmodulkatalog auswählen</w:t>
      </w:r>
      <w:r w:rsidRPr="00DF5105">
        <w:t>. Alle Module werden innerhalb von zwei</w:t>
      </w:r>
      <w:r w:rsidRPr="000053A7">
        <w:t xml:space="preserve"> Semestern abgeschlossen.</w:t>
      </w:r>
    </w:p>
    <w:p w14:paraId="708F2FE1" w14:textId="47773CAA" w:rsidR="00BE4093" w:rsidRDefault="00AB5C97" w:rsidP="000053A7">
      <w:pPr>
        <w:spacing w:before="0" w:after="120" w:line="240" w:lineRule="auto"/>
        <w:rPr>
          <w:rFonts w:cs="Arial"/>
          <w:bCs/>
          <w:szCs w:val="22"/>
        </w:rPr>
      </w:pPr>
      <w:r w:rsidRPr="00AB5C97">
        <w:rPr>
          <w:rFonts w:cs="Arial"/>
          <w:bCs/>
          <w:noProof/>
          <w:szCs w:val="22"/>
        </w:rPr>
        <w:lastRenderedPageBreak/>
        <w:drawing>
          <wp:inline distT="0" distB="0" distL="0" distR="0" wp14:anchorId="23E8003C" wp14:editId="165DD5FE">
            <wp:extent cx="5430008" cy="6668431"/>
            <wp:effectExtent l="0" t="0" r="0" b="0"/>
            <wp:docPr id="16963276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27613" name=""/>
                    <pic:cNvPicPr/>
                  </pic:nvPicPr>
                  <pic:blipFill>
                    <a:blip r:embed="rId8"/>
                    <a:stretch>
                      <a:fillRect/>
                    </a:stretch>
                  </pic:blipFill>
                  <pic:spPr>
                    <a:xfrm>
                      <a:off x="0" y="0"/>
                      <a:ext cx="5430008" cy="6668431"/>
                    </a:xfrm>
                    <a:prstGeom prst="rect">
                      <a:avLst/>
                    </a:prstGeom>
                  </pic:spPr>
                </pic:pic>
              </a:graphicData>
            </a:graphic>
          </wp:inline>
        </w:drawing>
      </w:r>
    </w:p>
    <w:p w14:paraId="1C3B66B7" w14:textId="77777777" w:rsidR="00C4092C" w:rsidRDefault="000053A7" w:rsidP="00BE2B5B">
      <w:bookmarkStart w:id="48" w:name="_Hlk35861450"/>
      <w:r w:rsidRPr="000053A7">
        <w:t>Das Profil des Master</w:t>
      </w:r>
      <w:r w:rsidR="00BE2B5B">
        <w:t>s</w:t>
      </w:r>
      <w:r w:rsidRPr="000053A7">
        <w:t xml:space="preserve">tudiengangs beruht auf fünf Kompetenzfeldern: </w:t>
      </w:r>
      <w:r w:rsidRPr="00B7569E">
        <w:rPr>
          <w:i/>
        </w:rPr>
        <w:t>Berufliche Handlungskompetenzen</w:t>
      </w:r>
      <w:r w:rsidRPr="000053A7">
        <w:t>,</w:t>
      </w:r>
      <w:r>
        <w:t xml:space="preserve"> </w:t>
      </w:r>
      <w:r w:rsidRPr="00B7569E">
        <w:rPr>
          <w:i/>
        </w:rPr>
        <w:t>Berufsübergreifende Handlungskompetenz</w:t>
      </w:r>
      <w:r w:rsidRPr="000053A7">
        <w:t xml:space="preserve">, </w:t>
      </w:r>
      <w:r w:rsidRPr="00B7569E">
        <w:rPr>
          <w:i/>
        </w:rPr>
        <w:t>Erweiterte Fachkompetenzen</w:t>
      </w:r>
      <w:r w:rsidRPr="000053A7">
        <w:t xml:space="preserve">, </w:t>
      </w:r>
      <w:r w:rsidRPr="00B7569E">
        <w:rPr>
          <w:i/>
        </w:rPr>
        <w:t>praktische Anwendung</w:t>
      </w:r>
      <w:r w:rsidRPr="000053A7">
        <w:t xml:space="preserve"> und </w:t>
      </w:r>
      <w:r w:rsidRPr="00B7569E">
        <w:rPr>
          <w:i/>
        </w:rPr>
        <w:t>wissenschaftliche und methodische Kompetenzen</w:t>
      </w:r>
      <w:r w:rsidRPr="000053A7">
        <w:t>.</w:t>
      </w:r>
      <w:r w:rsidR="00BE2B5B">
        <w:t xml:space="preserve"> </w:t>
      </w:r>
    </w:p>
    <w:p w14:paraId="6A43CFFF" w14:textId="42BDD985" w:rsidR="00BE2B5B" w:rsidRPr="00BE2B5B" w:rsidRDefault="00BE2B5B" w:rsidP="00BE2B5B">
      <w:r>
        <w:rPr>
          <w:sz w:val="21"/>
          <w:szCs w:val="21"/>
        </w:rPr>
        <w:t>P</w:t>
      </w:r>
      <w:r w:rsidRPr="00BE2B5B">
        <w:t xml:space="preserve">raxisanteile </w:t>
      </w:r>
      <w:r w:rsidR="00DF5105">
        <w:t>sind</w:t>
      </w:r>
      <w:r w:rsidRPr="00BE2B5B">
        <w:t xml:space="preserve"> durch Fallbeispiele, Videos, Rollenspiele oder </w:t>
      </w:r>
      <w:proofErr w:type="spellStart"/>
      <w:r w:rsidRPr="00BE2B5B">
        <w:t>Gastdozent:innen</w:t>
      </w:r>
      <w:proofErr w:type="spellEnd"/>
      <w:r w:rsidRPr="00BE2B5B">
        <w:t xml:space="preserve"> aus der Praxis</w:t>
      </w:r>
      <w:r w:rsidR="00DF5105" w:rsidRPr="00DF5105">
        <w:t xml:space="preserve"> </w:t>
      </w:r>
      <w:r w:rsidR="00DF5105" w:rsidRPr="00BE2B5B">
        <w:t>in einzelne Module</w:t>
      </w:r>
      <w:r w:rsidRPr="00BE2B5B">
        <w:t xml:space="preserve"> integriert. </w:t>
      </w:r>
      <w:r w:rsidR="00DF5105">
        <w:t>In</w:t>
      </w:r>
      <w:r w:rsidRPr="00BE2B5B">
        <w:t xml:space="preserve"> Modul M15 (Praxisfelder der Klinischen Psychologie und Psychotherapie, Fallarbeit) </w:t>
      </w:r>
      <w:r w:rsidR="00DF5105">
        <w:t xml:space="preserve">wird </w:t>
      </w:r>
      <w:r w:rsidRPr="00BE2B5B">
        <w:t xml:space="preserve">ein Überblick über mögliche ambulante und stationäre Praxisfelder vermittelt. </w:t>
      </w:r>
      <w:r w:rsidR="00DF5105">
        <w:t>Die</w:t>
      </w:r>
      <w:r w:rsidRPr="00BE2B5B">
        <w:t xml:space="preserve"> Studierende</w:t>
      </w:r>
      <w:r w:rsidR="004B598D">
        <w:t>n</w:t>
      </w:r>
      <w:r w:rsidRPr="00BE2B5B">
        <w:t xml:space="preserve"> </w:t>
      </w:r>
      <w:r w:rsidR="00DF5105">
        <w:t xml:space="preserve">vertiefen </w:t>
      </w:r>
      <w:r w:rsidRPr="00BE2B5B">
        <w:t xml:space="preserve">im Rahmen dieses Moduls </w:t>
      </w:r>
      <w:r w:rsidR="00DF5105">
        <w:t>diesen</w:t>
      </w:r>
      <w:r w:rsidRPr="00BE2B5B">
        <w:t xml:space="preserve"> gewonnenen Überblick durch die Auswahl von zwei bis drei Praxisfeldern, die sie im Rahmen von Blockveranstaltungen </w:t>
      </w:r>
      <w:r w:rsidRPr="00BE2B5B">
        <w:lastRenderedPageBreak/>
        <w:t>in Form von Fallarbeiten bearbeiten. Ziele des Moduls sind die Vermittlung spezifischer Kenntnis</w:t>
      </w:r>
      <w:r w:rsidR="00EE078E">
        <w:t>se</w:t>
      </w:r>
      <w:r w:rsidRPr="00BE2B5B">
        <w:t xml:space="preserve"> von Praxisfeldern</w:t>
      </w:r>
      <w:r w:rsidR="00DF5105">
        <w:t>,</w:t>
      </w:r>
      <w:r w:rsidRPr="00BE2B5B">
        <w:t xml:space="preserve"> der Austausch mit erfahrenen Psychologischen </w:t>
      </w:r>
      <w:proofErr w:type="spellStart"/>
      <w:r w:rsidRPr="00BE2B5B">
        <w:t>Psychotherapeut:innen</w:t>
      </w:r>
      <w:proofErr w:type="spellEnd"/>
      <w:r w:rsidRPr="00BE2B5B">
        <w:t xml:space="preserve"> sowie die Erfahrung unterschiedlichster Problemlagen und psychischer Beeinträchtigungen von Ratsuchenden und </w:t>
      </w:r>
      <w:proofErr w:type="spellStart"/>
      <w:r w:rsidRPr="00BE2B5B">
        <w:t>Patient:innen</w:t>
      </w:r>
      <w:proofErr w:type="spellEnd"/>
      <w:r w:rsidRPr="00BE2B5B">
        <w:t xml:space="preserve">. </w:t>
      </w:r>
    </w:p>
    <w:p w14:paraId="468F6591" w14:textId="05F39078" w:rsidR="00BE2B5B" w:rsidRDefault="00BD249F" w:rsidP="00BE2B5B">
      <w:r>
        <w:t>Ebenso</w:t>
      </w:r>
      <w:r w:rsidR="00BE2B5B" w:rsidRPr="000053A7">
        <w:t xml:space="preserve"> besteht für Studierende die Möglichkeit, durch eigenverantwortliche Organisation in Form von mehrwöchigen Hospitationen in der Regel einen Tag pro Woche, regionale Einrichtungen/Praxen zu besuchen und aktiv in der Behandlung als </w:t>
      </w:r>
      <w:proofErr w:type="spellStart"/>
      <w:r w:rsidR="00BE2B5B" w:rsidRPr="000053A7">
        <w:t>Co-Therapeut:innen</w:t>
      </w:r>
      <w:proofErr w:type="spellEnd"/>
      <w:r w:rsidR="00BE2B5B" w:rsidRPr="000053A7">
        <w:t xml:space="preserve"> mitzuwirken. Das Praktikumsbüro der MSH hilft bei der Vermittlung der Plätze.</w:t>
      </w:r>
      <w:r w:rsidR="00BE2B5B">
        <w:t xml:space="preserve"> </w:t>
      </w:r>
    </w:p>
    <w:p w14:paraId="79CD95CB" w14:textId="44DCB544" w:rsidR="00BE2B5B" w:rsidRPr="00BE2B5B" w:rsidRDefault="00DF5105" w:rsidP="00BE2B5B">
      <w:pPr>
        <w:rPr>
          <w:szCs w:val="22"/>
        </w:rPr>
      </w:pPr>
      <w:r>
        <w:rPr>
          <w:szCs w:val="22"/>
        </w:rPr>
        <w:t xml:space="preserve">Im Studiengang wird </w:t>
      </w:r>
      <w:r w:rsidR="00BE2B5B" w:rsidRPr="00BE2B5B">
        <w:rPr>
          <w:szCs w:val="22"/>
        </w:rPr>
        <w:t>die gesamte Vielfalt der psychotherapeutischen Verfahren vermittelt</w:t>
      </w:r>
      <w:r>
        <w:rPr>
          <w:szCs w:val="22"/>
        </w:rPr>
        <w:t>. Die</w:t>
      </w:r>
      <w:r w:rsidR="00BE2B5B" w:rsidRPr="00BE2B5B">
        <w:rPr>
          <w:szCs w:val="22"/>
        </w:rPr>
        <w:t xml:space="preserve"> </w:t>
      </w:r>
      <w:r w:rsidR="008A04D4">
        <w:rPr>
          <w:szCs w:val="22"/>
        </w:rPr>
        <w:t xml:space="preserve">professoral </w:t>
      </w:r>
      <w:r w:rsidR="00BE2B5B" w:rsidRPr="00BE2B5B">
        <w:rPr>
          <w:szCs w:val="22"/>
        </w:rPr>
        <w:t>Lehrende</w:t>
      </w:r>
      <w:r>
        <w:rPr>
          <w:szCs w:val="22"/>
        </w:rPr>
        <w:t>n im Studiengang sind</w:t>
      </w:r>
      <w:r w:rsidR="00BE2B5B" w:rsidRPr="00BE2B5B">
        <w:rPr>
          <w:szCs w:val="22"/>
        </w:rPr>
        <w:t xml:space="preserve"> in allen psychotherapeutischen Richtlinienverfahren (Verhaltenstherapie, Tiefenpsychologisch fundierte Psychotherapie, Psychoanalyse und Systemische Therapie) berufen. Gleichermaßen wird ein verfahrensübergreifender integrativer Ansatz mit Fokussierung auf die Vermittlung evidenzbasierter psychotherapeutischer Basiskompetenzen gelebt und gelehrt. </w:t>
      </w:r>
    </w:p>
    <w:p w14:paraId="2B147135" w14:textId="4213D4AF" w:rsidR="000053A7" w:rsidRPr="00BE2B5B" w:rsidRDefault="00BE2B5B" w:rsidP="00BE2B5B">
      <w:pPr>
        <w:rPr>
          <w:szCs w:val="22"/>
        </w:rPr>
      </w:pPr>
      <w:r w:rsidRPr="00BE2B5B">
        <w:rPr>
          <w:szCs w:val="22"/>
        </w:rPr>
        <w:t>Durch das interdisziplinäre Wahlmodul M14 und extra-curriculare Angebote zu interprofessioneller Zusammenarbeit werden die Studierenden zudem auf die Kooperation in interprofessionellen Teams vorbereitet.</w:t>
      </w:r>
    </w:p>
    <w:p w14:paraId="033CA02A" w14:textId="15B8212B" w:rsidR="00DF5105" w:rsidRPr="00BE2B5B" w:rsidRDefault="00DF5105" w:rsidP="00DF5105">
      <w:pPr>
        <w:rPr>
          <w:szCs w:val="22"/>
        </w:rPr>
      </w:pPr>
      <w:r w:rsidRPr="00BE2B5B">
        <w:rPr>
          <w:szCs w:val="22"/>
        </w:rPr>
        <w:t xml:space="preserve">Der Masterstudiengang schließt mit der Erstellung der Masterarbeit einschließlich Kolloquium ab, mit der die Fähigkeiten </w:t>
      </w:r>
      <w:r w:rsidR="00B8421C">
        <w:rPr>
          <w:szCs w:val="22"/>
        </w:rPr>
        <w:t>zum</w:t>
      </w:r>
      <w:r w:rsidRPr="00BE2B5B">
        <w:rPr>
          <w:szCs w:val="22"/>
        </w:rPr>
        <w:t xml:space="preserve"> wissenschaftlichen Arbeiten nachgewiesen </w:t>
      </w:r>
      <w:r w:rsidR="00B8421C">
        <w:rPr>
          <w:szCs w:val="22"/>
        </w:rPr>
        <w:t>wird</w:t>
      </w:r>
      <w:r w:rsidRPr="00BE2B5B">
        <w:rPr>
          <w:szCs w:val="22"/>
        </w:rPr>
        <w:t>.</w:t>
      </w:r>
    </w:p>
    <w:p w14:paraId="30FE2AF9" w14:textId="26451AA5" w:rsidR="00A977E5" w:rsidRPr="000A6C6B" w:rsidRDefault="000A6C6B" w:rsidP="000A6C6B">
      <w:pPr>
        <w:rPr>
          <w:color w:val="000000" w:themeColor="text1"/>
        </w:rPr>
      </w:pPr>
      <w:r w:rsidRPr="000A6C6B">
        <w:t xml:space="preserve">Die MSH zeichnet sich durch eine Bandbreite an Forschungsthemen im Rahmen der Gesundheitsforschung aus. Um die Forschungsaktivitäten zu bündeln, wurden Forschungsinstitute </w:t>
      </w:r>
      <w:r w:rsidRPr="00992171">
        <w:t xml:space="preserve">gebildet, </w:t>
      </w:r>
      <w:r w:rsidR="00EE078E">
        <w:t>die</w:t>
      </w:r>
      <w:r w:rsidR="00EE078E" w:rsidRPr="00992171">
        <w:t xml:space="preserve"> </w:t>
      </w:r>
      <w:r w:rsidRPr="00992171">
        <w:t xml:space="preserve">sich jeweils mit ihren eigenen Schwerpunkten und -zielen innerhalb der </w:t>
      </w:r>
      <w:r w:rsidRPr="00B8421C">
        <w:rPr>
          <w:szCs w:val="22"/>
        </w:rPr>
        <w:t xml:space="preserve">Gesundheitsforschung in einem der übergeordneten Forschungsfelder bewegen: </w:t>
      </w:r>
      <w:r w:rsidR="00A977E5" w:rsidRPr="00B8421C">
        <w:rPr>
          <w:color w:val="000000" w:themeColor="text1"/>
          <w:szCs w:val="22"/>
        </w:rPr>
        <w:t xml:space="preserve">Die Klinische Psychologie und Psychotherapie </w:t>
      </w:r>
      <w:r w:rsidRPr="00B8421C">
        <w:rPr>
          <w:color w:val="000000" w:themeColor="text1"/>
          <w:szCs w:val="22"/>
        </w:rPr>
        <w:t xml:space="preserve">mit dem ICPP Institute for Clinical Psychology and Psychotherapy </w:t>
      </w:r>
      <w:r w:rsidR="00A977E5" w:rsidRPr="00B8421C">
        <w:rPr>
          <w:color w:val="000000" w:themeColor="text1"/>
          <w:szCs w:val="22"/>
        </w:rPr>
        <w:t xml:space="preserve">stellt </w:t>
      </w:r>
      <w:r w:rsidRPr="00B8421C">
        <w:rPr>
          <w:color w:val="000000" w:themeColor="text1"/>
          <w:szCs w:val="22"/>
        </w:rPr>
        <w:t xml:space="preserve">dabei </w:t>
      </w:r>
      <w:r w:rsidR="00A977E5" w:rsidRPr="00B8421C">
        <w:rPr>
          <w:color w:val="000000" w:themeColor="text1"/>
          <w:szCs w:val="22"/>
        </w:rPr>
        <w:t>ein</w:t>
      </w:r>
      <w:r w:rsidRPr="00B8421C">
        <w:rPr>
          <w:color w:val="000000" w:themeColor="text1"/>
          <w:szCs w:val="22"/>
        </w:rPr>
        <w:t>e</w:t>
      </w:r>
      <w:r w:rsidR="00A977E5" w:rsidRPr="00B8421C">
        <w:rPr>
          <w:color w:val="000000" w:themeColor="text1"/>
          <w:szCs w:val="22"/>
        </w:rPr>
        <w:t xml:space="preserve"> eigene</w:t>
      </w:r>
      <w:r w:rsidR="00DF5105" w:rsidRPr="00B8421C">
        <w:rPr>
          <w:color w:val="000000" w:themeColor="text1"/>
          <w:szCs w:val="22"/>
        </w:rPr>
        <w:t xml:space="preserve"> </w:t>
      </w:r>
      <w:r w:rsidRPr="00B8421C">
        <w:rPr>
          <w:color w:val="000000" w:themeColor="text1"/>
          <w:szCs w:val="22"/>
        </w:rPr>
        <w:t>Forschungse</w:t>
      </w:r>
      <w:r w:rsidR="00DF5105" w:rsidRPr="00B8421C">
        <w:rPr>
          <w:color w:val="000000" w:themeColor="text1"/>
          <w:szCs w:val="22"/>
        </w:rPr>
        <w:t>ntwicklungslinie an der MSH</w:t>
      </w:r>
      <w:r w:rsidR="00A977E5" w:rsidRPr="00B8421C">
        <w:rPr>
          <w:color w:val="000000" w:themeColor="text1"/>
          <w:szCs w:val="22"/>
        </w:rPr>
        <w:t xml:space="preserve"> dar. </w:t>
      </w:r>
      <w:r w:rsidRPr="00B8421C">
        <w:rPr>
          <w:szCs w:val="22"/>
        </w:rPr>
        <w:t xml:space="preserve">Forschungsziele, -aufgaben </w:t>
      </w:r>
      <w:r w:rsidR="00EE078E" w:rsidRPr="00B8421C">
        <w:rPr>
          <w:szCs w:val="22"/>
        </w:rPr>
        <w:t>und</w:t>
      </w:r>
      <w:r w:rsidRPr="00B8421C">
        <w:rPr>
          <w:szCs w:val="22"/>
        </w:rPr>
        <w:t xml:space="preserve"> -</w:t>
      </w:r>
      <w:proofErr w:type="spellStart"/>
      <w:r w:rsidRPr="00B8421C">
        <w:rPr>
          <w:szCs w:val="22"/>
        </w:rPr>
        <w:t>schwerpunkte</w:t>
      </w:r>
      <w:proofErr w:type="spellEnd"/>
      <w:r w:rsidRPr="00B8421C">
        <w:rPr>
          <w:szCs w:val="22"/>
        </w:rPr>
        <w:t xml:space="preserve"> sowie die beteiligten Lehrenden und die Qualität</w:t>
      </w:r>
      <w:r w:rsidR="00992171" w:rsidRPr="00B8421C">
        <w:rPr>
          <w:szCs w:val="22"/>
        </w:rPr>
        <w:t>ss</w:t>
      </w:r>
      <w:r w:rsidRPr="00B8421C">
        <w:rPr>
          <w:szCs w:val="22"/>
        </w:rPr>
        <w:t>icherung sind im</w:t>
      </w:r>
      <w:r w:rsidR="00A977E5" w:rsidRPr="00B8421C">
        <w:rPr>
          <w:color w:val="000000" w:themeColor="text1"/>
          <w:szCs w:val="22"/>
        </w:rPr>
        <w:t xml:space="preserve"> Forschungskonzept beschrieben</w:t>
      </w:r>
      <w:r w:rsidR="00DF5105" w:rsidRPr="00B8421C">
        <w:rPr>
          <w:color w:val="000000" w:themeColor="text1"/>
          <w:szCs w:val="22"/>
        </w:rPr>
        <w:t>.</w:t>
      </w:r>
      <w:r w:rsidR="00992171" w:rsidRPr="00B8421C">
        <w:rPr>
          <w:color w:val="000000" w:themeColor="text1"/>
          <w:szCs w:val="22"/>
        </w:rPr>
        <w:t xml:space="preserve"> Eine Übersicht über die Forschungsprojekte und Publikationen liefert der Forschungsbericht.</w:t>
      </w:r>
      <w:r w:rsidR="00992171">
        <w:rPr>
          <w:color w:val="000000" w:themeColor="text1"/>
        </w:rPr>
        <w:t xml:space="preserve"> </w:t>
      </w:r>
    </w:p>
    <w:bookmarkEnd w:id="48"/>
    <w:p w14:paraId="106A005F" w14:textId="7C08727C" w:rsidR="004A12CD" w:rsidRPr="00E57E52" w:rsidRDefault="00F723CB" w:rsidP="00E57E52">
      <w:pPr>
        <w:rPr>
          <w:rFonts w:cs="Arial"/>
          <w:i/>
          <w:szCs w:val="22"/>
        </w:rPr>
      </w:pPr>
      <w:r w:rsidRPr="00457100">
        <w:rPr>
          <w:rFonts w:cs="Arial"/>
          <w:b/>
          <w:color w:val="A71930"/>
          <w:szCs w:val="22"/>
        </w:rPr>
        <w:t>Bewertung: Stärken und Entwicklungsbedarf</w:t>
      </w:r>
      <w:r>
        <w:rPr>
          <w:rFonts w:cs="Arial"/>
          <w:b/>
          <w:color w:val="A71930"/>
          <w:szCs w:val="22"/>
        </w:rPr>
        <w:t xml:space="preserve"> </w:t>
      </w:r>
    </w:p>
    <w:p w14:paraId="1AA0ACD0" w14:textId="164644D1" w:rsidR="00042797" w:rsidRDefault="00535A83" w:rsidP="00A102CC">
      <w:pPr>
        <w:rPr>
          <w:lang w:eastAsia="en-US"/>
        </w:rPr>
      </w:pPr>
      <w:r>
        <w:rPr>
          <w:lang w:eastAsia="en-US"/>
        </w:rPr>
        <w:t>Vor Ort wir</w:t>
      </w:r>
      <w:r w:rsidR="00243BB2">
        <w:rPr>
          <w:lang w:eastAsia="en-US"/>
        </w:rPr>
        <w:t>d</w:t>
      </w:r>
      <w:r>
        <w:rPr>
          <w:lang w:eastAsia="en-US"/>
        </w:rPr>
        <w:t xml:space="preserve"> das Auswahlverfahren für den Studiengang angesprochen. </w:t>
      </w:r>
      <w:r w:rsidR="00042797">
        <w:rPr>
          <w:lang w:eastAsia="en-US"/>
        </w:rPr>
        <w:t xml:space="preserve">Die Hochschule erläutert, dass bei den Auswahlverfahren für den Studiengang zunächst die formalen Zulassungsvoraussetzungen vom zentralen Bewerbungsmanagement geprüft werden. Die </w:t>
      </w:r>
      <w:r>
        <w:rPr>
          <w:lang w:eastAsia="en-US"/>
        </w:rPr>
        <w:t>B</w:t>
      </w:r>
      <w:r w:rsidR="00042797">
        <w:rPr>
          <w:lang w:eastAsia="en-US"/>
        </w:rPr>
        <w:t>ewerber:innen teilen sich in drei Gruppen</w:t>
      </w:r>
      <w:r w:rsidR="00F847F2">
        <w:rPr>
          <w:lang w:eastAsia="en-US"/>
        </w:rPr>
        <w:t>:</w:t>
      </w:r>
      <w:r w:rsidR="00042797">
        <w:rPr>
          <w:lang w:eastAsia="en-US"/>
        </w:rPr>
        <w:t xml:space="preserve"> interne Studierende, externe Studierende und Studierende mit einem </w:t>
      </w:r>
      <w:r w:rsidR="00B8421C">
        <w:rPr>
          <w:lang w:eastAsia="en-US"/>
        </w:rPr>
        <w:t xml:space="preserve">kritischen </w:t>
      </w:r>
      <w:r w:rsidR="00042797">
        <w:rPr>
          <w:lang w:eastAsia="en-US"/>
        </w:rPr>
        <w:t>Notendurchschnitt. Mit den externen Bewerber:innen und denjenigen mit einem Noten</w:t>
      </w:r>
      <w:r w:rsidR="00042797">
        <w:rPr>
          <w:lang w:eastAsia="en-US"/>
        </w:rPr>
        <w:lastRenderedPageBreak/>
        <w:t>durchschnitt ab 2,5 wird ein Auswahlgespräch geführt. Die Auswahlgespräche werden von einem:einer Professor:in geführt, um eine adäquate fachliche Einschätzung zu gewährleisten.</w:t>
      </w:r>
      <w:r w:rsidR="00A102CC">
        <w:rPr>
          <w:lang w:eastAsia="en-US"/>
        </w:rPr>
        <w:t xml:space="preserve"> Nachzuholende Inhalte, bei externen Bewerber:innen, werden in Form von Auflagen im Studienvertrag festgelegt. </w:t>
      </w:r>
      <w:r>
        <w:rPr>
          <w:lang w:eastAsia="en-US"/>
        </w:rPr>
        <w:t>Grundsätzlich wird das Auswahlgespräch mehr als Beratungsgespräch verstanden, es werden aber auch Bewerber:innen abgelehnt. Thema ist unter anderem das Berufsziel der Bewerber:innen, sie werden in dem Gespräch auch auf die Besonderheiten des Studiengang</w:t>
      </w:r>
      <w:r w:rsidR="00F847F2">
        <w:rPr>
          <w:lang w:eastAsia="en-US"/>
        </w:rPr>
        <w:t>s</w:t>
      </w:r>
      <w:r>
        <w:rPr>
          <w:lang w:eastAsia="en-US"/>
        </w:rPr>
        <w:t xml:space="preserve"> nach altem im Gegensatz zum aktuellen </w:t>
      </w:r>
      <w:proofErr w:type="spellStart"/>
      <w:r w:rsidRPr="00535A83">
        <w:rPr>
          <w:lang w:eastAsia="en-US"/>
        </w:rPr>
        <w:t>Psychotherapeut</w:t>
      </w:r>
      <w:r w:rsidR="00AC7EEE">
        <w:rPr>
          <w:lang w:eastAsia="en-US"/>
        </w:rPr>
        <w:t>:innen</w:t>
      </w:r>
      <w:r w:rsidR="00E4678E">
        <w:rPr>
          <w:lang w:eastAsia="en-US"/>
        </w:rPr>
        <w:t>g</w:t>
      </w:r>
      <w:r w:rsidRPr="00535A83">
        <w:rPr>
          <w:lang w:eastAsia="en-US"/>
        </w:rPr>
        <w:t>esetz</w:t>
      </w:r>
      <w:proofErr w:type="spellEnd"/>
      <w:r>
        <w:rPr>
          <w:lang w:eastAsia="en-US"/>
        </w:rPr>
        <w:t xml:space="preserve"> informiert. </w:t>
      </w:r>
    </w:p>
    <w:p w14:paraId="21125D83" w14:textId="1EE7C173" w:rsidR="00042797" w:rsidRDefault="00042797" w:rsidP="008F12F2">
      <w:pPr>
        <w:rPr>
          <w:lang w:eastAsia="en-US"/>
        </w:rPr>
      </w:pPr>
      <w:r>
        <w:rPr>
          <w:lang w:eastAsia="en-US"/>
        </w:rPr>
        <w:t>Des Weiteren erkundig</w:t>
      </w:r>
      <w:r w:rsidR="00BE68F9">
        <w:rPr>
          <w:lang w:eastAsia="en-US"/>
        </w:rPr>
        <w:t>en</w:t>
      </w:r>
      <w:r>
        <w:rPr>
          <w:lang w:eastAsia="en-US"/>
        </w:rPr>
        <w:t xml:space="preserve"> sich </w:t>
      </w:r>
      <w:r w:rsidR="00BE68F9">
        <w:rPr>
          <w:lang w:eastAsia="en-US"/>
        </w:rPr>
        <w:t xml:space="preserve">die Gutachter:innen </w:t>
      </w:r>
      <w:r>
        <w:rPr>
          <w:lang w:eastAsia="en-US"/>
        </w:rPr>
        <w:t xml:space="preserve">nach den Strukturen zur Absprache der Lehrenden in einzelnen Modulen, um Redundanzen zu vermeiden und die Vermittlung zentraler Inhalte zu gewährleisten. </w:t>
      </w:r>
      <w:r w:rsidR="00A102CC">
        <w:rPr>
          <w:lang w:eastAsia="en-US"/>
        </w:rPr>
        <w:t xml:space="preserve">Auch der Austausch mit den Lehrenden des Masterstudiengangs nach </w:t>
      </w:r>
      <w:r w:rsidR="003578DB">
        <w:t xml:space="preserve">PsychThG 2019 </w:t>
      </w:r>
      <w:r w:rsidR="00A102CC">
        <w:rPr>
          <w:lang w:eastAsia="en-US"/>
        </w:rPr>
        <w:t xml:space="preserve">wird thematisiert. </w:t>
      </w:r>
      <w:r>
        <w:rPr>
          <w:lang w:eastAsia="en-US"/>
        </w:rPr>
        <w:t>Die Lehrenden des Studiengangs treffen sich vor Beginn jedes Semesters zu einer Detailplanung der anstehenden Lehrveranstaltung</w:t>
      </w:r>
      <w:r w:rsidR="00F847F2">
        <w:rPr>
          <w:lang w:eastAsia="en-US"/>
        </w:rPr>
        <w:t>en</w:t>
      </w:r>
      <w:r>
        <w:rPr>
          <w:lang w:eastAsia="en-US"/>
        </w:rPr>
        <w:t xml:space="preserve">, so die Hochschule. Zusätzlich gebe es auch Austauschtreffen mit Lehrbeauftragten. Bei diesen Zusammenkünften werden Inhalte und Zuständigkeiten genau geklärt. </w:t>
      </w:r>
      <w:r w:rsidR="00A102CC">
        <w:rPr>
          <w:lang w:eastAsia="en-US"/>
        </w:rPr>
        <w:t>Der Austausch zwischen den beiden Studiengängen ist schon d</w:t>
      </w:r>
      <w:r w:rsidR="00F847F2">
        <w:rPr>
          <w:lang w:eastAsia="en-US"/>
        </w:rPr>
        <w:t xml:space="preserve">eshalb </w:t>
      </w:r>
      <w:r w:rsidR="00A102CC">
        <w:rPr>
          <w:lang w:eastAsia="en-US"/>
        </w:rPr>
        <w:t xml:space="preserve">sehr eng, weil etliche Lehrende in beiden Modellen </w:t>
      </w:r>
      <w:r w:rsidR="007D233B">
        <w:rPr>
          <w:lang w:eastAsia="en-US"/>
        </w:rPr>
        <w:t xml:space="preserve">(Masterstudiengang nach </w:t>
      </w:r>
      <w:bookmarkStart w:id="49" w:name="_Hlk147389086"/>
      <w:r w:rsidR="007D233B" w:rsidRPr="007D233B">
        <w:rPr>
          <w:lang w:eastAsia="en-US"/>
        </w:rPr>
        <w:t xml:space="preserve">PsychThG </w:t>
      </w:r>
      <w:r w:rsidR="007D233B">
        <w:rPr>
          <w:lang w:eastAsia="en-US"/>
        </w:rPr>
        <w:t xml:space="preserve">und </w:t>
      </w:r>
      <w:r w:rsidR="007D233B" w:rsidRPr="007D233B">
        <w:rPr>
          <w:lang w:eastAsia="en-US"/>
        </w:rPr>
        <w:t>PsychThG</w:t>
      </w:r>
      <w:bookmarkEnd w:id="49"/>
      <w:r w:rsidR="007D233B" w:rsidRPr="007D233B">
        <w:rPr>
          <w:lang w:eastAsia="en-US"/>
        </w:rPr>
        <w:t xml:space="preserve"> 2019</w:t>
      </w:r>
      <w:r w:rsidR="007D233B">
        <w:rPr>
          <w:lang w:eastAsia="en-US"/>
        </w:rPr>
        <w:t xml:space="preserve">) </w:t>
      </w:r>
      <w:r w:rsidR="00A102CC">
        <w:rPr>
          <w:lang w:eastAsia="en-US"/>
        </w:rPr>
        <w:t xml:space="preserve">unterrichten. Die Lehrenden bezeichnen ihre Zusammenarbeit als sehr fruchtbar. Als Stärken des „alten“ Modells sehen sie die Vielfalt der </w:t>
      </w:r>
      <w:r w:rsidR="008F12F2">
        <w:rPr>
          <w:lang w:eastAsia="en-US"/>
        </w:rPr>
        <w:t xml:space="preserve">gelehrten </w:t>
      </w:r>
      <w:r w:rsidR="00E352E4">
        <w:rPr>
          <w:lang w:eastAsia="en-US"/>
        </w:rPr>
        <w:t>Therapies</w:t>
      </w:r>
      <w:r w:rsidR="00A102CC">
        <w:rPr>
          <w:lang w:eastAsia="en-US"/>
        </w:rPr>
        <w:t xml:space="preserve">chulen, die im neuen Modell nicht mehr so umfassend gelehrt werden. </w:t>
      </w:r>
      <w:r w:rsidR="008F12F2">
        <w:rPr>
          <w:lang w:eastAsia="en-US"/>
        </w:rPr>
        <w:t>Auch die Studierenden heben besonders hervor, wie hilfreich für sie de</w:t>
      </w:r>
      <w:r w:rsidR="00535A83">
        <w:rPr>
          <w:lang w:eastAsia="en-US"/>
        </w:rPr>
        <w:t>r</w:t>
      </w:r>
      <w:r w:rsidR="008F12F2">
        <w:rPr>
          <w:lang w:eastAsia="en-US"/>
        </w:rPr>
        <w:t xml:space="preserve"> Einblick in die verschiedenen Therapieformen war, um sich später für einen eigenen Weg zu entscheiden. </w:t>
      </w:r>
    </w:p>
    <w:p w14:paraId="4B1105C4" w14:textId="20CAD1FB" w:rsidR="00D57120" w:rsidRDefault="00E74983" w:rsidP="00E74983">
      <w:r>
        <w:t xml:space="preserve">Die Gutachter:innen thematisieren </w:t>
      </w:r>
      <w:r w:rsidR="00535A83">
        <w:t xml:space="preserve">in den Gesprächen </w:t>
      </w:r>
      <w:r>
        <w:t xml:space="preserve">die Praxisanteile im Studiengang. Neben den Fallarbeiten </w:t>
      </w:r>
      <w:r w:rsidRPr="000053A7">
        <w:t>besteht für Studierende die Möglichkeit, durch eigenverantwortliche Organisation in Form von mehrwöchigen Hospitationen</w:t>
      </w:r>
      <w:r w:rsidR="00D57120">
        <w:t>,</w:t>
      </w:r>
      <w:r w:rsidRPr="000053A7">
        <w:t xml:space="preserve"> in der Regel einen Tag pro Woche, regionale Einrichtungen/Praxen zu besuchen und aktiv in der Behandlung als </w:t>
      </w:r>
      <w:proofErr w:type="spellStart"/>
      <w:r w:rsidRPr="000053A7">
        <w:t>Co-Therapeut:innen</w:t>
      </w:r>
      <w:proofErr w:type="spellEnd"/>
      <w:r w:rsidRPr="000053A7">
        <w:t xml:space="preserve"> mitzuwirken. </w:t>
      </w:r>
      <w:r w:rsidR="00D57120">
        <w:t xml:space="preserve">Die Supervision erfolgt durch die Praxisstelle. </w:t>
      </w:r>
      <w:r w:rsidRPr="000053A7">
        <w:t>Das Praktikumsbüro der MSH hilft bei der Vermittlung der Plätze.</w:t>
      </w:r>
      <w:r>
        <w:t xml:space="preserve"> </w:t>
      </w:r>
      <w:r w:rsidR="00D57120">
        <w:t>Die MSH hat Kooperationsverträge mit 75 Kliniken. Die Hospitationen finden zum Ende des Studiums</w:t>
      </w:r>
      <w:r w:rsidR="00820DED">
        <w:t xml:space="preserve"> </w:t>
      </w:r>
      <w:r w:rsidR="00D57120">
        <w:t xml:space="preserve">statt und sollen den Übergang in das Berufsleben fördern. </w:t>
      </w:r>
      <w:r>
        <w:t xml:space="preserve">Die Hochschule erläutert, dass die meisten Studierenden schon in irgendeiner Form </w:t>
      </w:r>
      <w:r w:rsidR="00917A45">
        <w:t>neben</w:t>
      </w:r>
      <w:r>
        <w:t xml:space="preserve">beruflich </w:t>
      </w:r>
      <w:r w:rsidR="00F04D1F">
        <w:t xml:space="preserve">in einem der </w:t>
      </w:r>
      <w:r w:rsidR="00F04D1F" w:rsidRPr="00F04D1F">
        <w:t>Praxisfelder der Klinischen Psychologie und Psychotherapie</w:t>
      </w:r>
      <w:r>
        <w:t xml:space="preserve"> tätig sind und von daher </w:t>
      </w:r>
      <w:r w:rsidR="00535A83">
        <w:t xml:space="preserve">eher selten die freiwilligen </w:t>
      </w:r>
      <w:r>
        <w:t xml:space="preserve">Hospitationen </w:t>
      </w:r>
      <w:r w:rsidR="00C30055">
        <w:t xml:space="preserve">durchführen. Im konsekutiven Bachelor-Master-Modell der MSH wird die Praxiserfahrung </w:t>
      </w:r>
      <w:r w:rsidR="00917A45">
        <w:t xml:space="preserve">schwerpunktmäßig </w:t>
      </w:r>
      <w:r w:rsidR="00C30055">
        <w:t xml:space="preserve">im Bachelorstudiengang vermittelt. </w:t>
      </w:r>
      <w:r w:rsidR="004C106D">
        <w:t xml:space="preserve">Die Studierenden bestätigen dies. </w:t>
      </w:r>
    </w:p>
    <w:p w14:paraId="5EB12062" w14:textId="6437DC3D" w:rsidR="00E74983" w:rsidRDefault="00C30055" w:rsidP="00E74983">
      <w:r>
        <w:t xml:space="preserve">Die Gutachter:innen geben zu bedenken, dass externe Bewerber:innen eventuell über weniger Praxiserfahrung verfügen. In diesem Fall muss, laut Hochschule, auch der vorgesehen Anteil an Praxis nachgeholt werden. </w:t>
      </w:r>
      <w:r w:rsidR="00917A45">
        <w:t xml:space="preserve">Grundsätzlich sind die Gutachter:innen der Ansicht, dass das Modul </w:t>
      </w:r>
      <w:r w:rsidR="00917A45">
        <w:lastRenderedPageBreak/>
        <w:t>M15 „</w:t>
      </w:r>
      <w:r w:rsidR="00917A45" w:rsidRPr="00917A45">
        <w:t>Praxisfelder der Klinischen Psychologie und Psychotherapie (Fallarbeit)</w:t>
      </w:r>
      <w:r w:rsidR="00917A45">
        <w:t xml:space="preserve">“ so wie es konzipiert ist, mit den vorgesehenen Hospitationen, auch verbindlich von allen Studierenden </w:t>
      </w:r>
      <w:r w:rsidR="00F847F2">
        <w:t xml:space="preserve">absolviert </w:t>
      </w:r>
      <w:r w:rsidR="00917A45">
        <w:t xml:space="preserve"> werden sollte. </w:t>
      </w:r>
    </w:p>
    <w:p w14:paraId="47117E4F" w14:textId="7BDA46A5" w:rsidR="00E57E52" w:rsidRDefault="00502AAE" w:rsidP="00502AAE">
      <w:r w:rsidRPr="00502AAE">
        <w:t xml:space="preserve">Auf die Frage, wie digitale Kompetenz im Studiengang </w:t>
      </w:r>
      <w:r w:rsidR="00F847F2">
        <w:t>erworben</w:t>
      </w:r>
      <w:r w:rsidRPr="00502AAE">
        <w:t xml:space="preserve"> wird, verweist die Hochschule zum einen auf die Integration digitaler Elemente in die Lehre sowie </w:t>
      </w:r>
      <w:r w:rsidR="00F847F2">
        <w:t xml:space="preserve">zum anderen </w:t>
      </w:r>
      <w:r w:rsidRPr="00502AAE">
        <w:t xml:space="preserve">auf die Einführung neuer digitaler Lern- und Lehrformate in </w:t>
      </w:r>
      <w:r>
        <w:t xml:space="preserve">einzelnen Modulen </w:t>
      </w:r>
      <w:r w:rsidR="00F847F2">
        <w:t xml:space="preserve">in </w:t>
      </w:r>
      <w:r w:rsidRPr="00502AAE">
        <w:t xml:space="preserve">den letzten Jahren. </w:t>
      </w:r>
      <w:r w:rsidR="00F847F2">
        <w:t xml:space="preserve">Auch </w:t>
      </w:r>
      <w:r w:rsidRPr="00502AAE">
        <w:t xml:space="preserve"> wird auf die inhaltliche Vermittlung von digitalen Kompetenzen im Modul 5 </w:t>
      </w:r>
      <w:r>
        <w:t>„Klinische Psychologie: Verhaltenstherapeutische (VT) Interventionen I, II“</w:t>
      </w:r>
      <w:r w:rsidRPr="00502AAE">
        <w:t xml:space="preserve"> wie beispielsweise Online-Therapie oder rechtliche Aspekte von virtuellen Angeboten, hingewiesen.</w:t>
      </w:r>
      <w:r>
        <w:t xml:space="preserve"> Die Gutachter:innen empfehlen diese i</w:t>
      </w:r>
      <w:r w:rsidRPr="00502AAE">
        <w:t xml:space="preserve">m Studiengang </w:t>
      </w:r>
      <w:r>
        <w:t xml:space="preserve">bereits </w:t>
      </w:r>
      <w:r w:rsidRPr="00502AAE">
        <w:t xml:space="preserve">vermittelten digitalen Handlungskompetenzen im Modulhandbuch </w:t>
      </w:r>
      <w:r>
        <w:t xml:space="preserve">zu </w:t>
      </w:r>
      <w:r w:rsidRPr="00502AAE">
        <w:t>veranker</w:t>
      </w:r>
      <w:r>
        <w:t>n</w:t>
      </w:r>
      <w:r w:rsidRPr="00502AAE">
        <w:t xml:space="preserve"> und entsprechend </w:t>
      </w:r>
      <w:r>
        <w:t>darzustellen.</w:t>
      </w:r>
    </w:p>
    <w:p w14:paraId="718FADB0" w14:textId="0EA3380D" w:rsidR="006E51D6" w:rsidRDefault="006E51D6" w:rsidP="006E51D6">
      <w:pPr>
        <w:rPr>
          <w:lang w:eastAsia="en-US"/>
        </w:rPr>
      </w:pPr>
      <w:r w:rsidRPr="006E51D6">
        <w:rPr>
          <w:rFonts w:cs="Arial"/>
          <w:szCs w:val="22"/>
        </w:rPr>
        <w:t xml:space="preserve">Aus Sicht </w:t>
      </w:r>
      <w:r w:rsidR="00A1572E">
        <w:rPr>
          <w:rFonts w:cs="Arial"/>
          <w:szCs w:val="22"/>
        </w:rPr>
        <w:t xml:space="preserve">der </w:t>
      </w:r>
      <w:r w:rsidRPr="006E51D6">
        <w:rPr>
          <w:rFonts w:cs="Arial"/>
          <w:szCs w:val="22"/>
        </w:rPr>
        <w:t xml:space="preserve">Gutachter:innen ist der Masterstudiengang </w:t>
      </w:r>
      <w:r w:rsidRPr="006E51D6">
        <w:t>ein in der Vergangenheit gut angenom</w:t>
      </w:r>
      <w:r>
        <w:t>mener Studiengang, bei dem noch Anpassungen vorgenommen werden können</w:t>
      </w:r>
      <w:r w:rsidR="00243BB2">
        <w:t xml:space="preserve"> und sollten</w:t>
      </w:r>
      <w:r>
        <w:t xml:space="preserve">. </w:t>
      </w:r>
      <w:r w:rsidRPr="000D3F65">
        <w:rPr>
          <w:lang w:eastAsia="en-US"/>
        </w:rPr>
        <w:t xml:space="preserve">Das Curriculum ist unter Berücksichtigung der festgelegten Eingangsqualifikation und im Hinblick auf die Erreichbarkeit der Qualifikationsziele adäquat aufgebaut. Die Qualifikationsziele, die Studiengangsbezeichnung, Abschlussgrad und -bezeichnung und das Modulkonzept sind stimmig aufeinander bezogen. Das Studiengangskonzept umfasst vielfältige, an die jeweilige Fachkultur und das Studienformat angepasste Lehr- und Lernformen sowie Praxisanteile. Es bezieht die Studierenden aktiv in die Gestaltung von Lehr- und Lernprozessen ein und eröffnet </w:t>
      </w:r>
      <w:r>
        <w:rPr>
          <w:lang w:eastAsia="en-US"/>
        </w:rPr>
        <w:t xml:space="preserve">gleichzeitig </w:t>
      </w:r>
      <w:r w:rsidRPr="000D3F65">
        <w:rPr>
          <w:lang w:eastAsia="en-US"/>
        </w:rPr>
        <w:t xml:space="preserve">Freiräume für ein selbstgestaltetes Studium. </w:t>
      </w:r>
    </w:p>
    <w:p w14:paraId="299AA14F" w14:textId="77777777" w:rsidR="00F723CB" w:rsidRPr="00457100" w:rsidRDefault="00F723CB" w:rsidP="007244DF">
      <w:pPr>
        <w:rPr>
          <w:rFonts w:cs="Arial"/>
          <w:color w:val="A71930"/>
          <w:szCs w:val="22"/>
        </w:rPr>
      </w:pPr>
      <w:r w:rsidRPr="00457100">
        <w:rPr>
          <w:rFonts w:cs="Arial"/>
          <w:b/>
          <w:color w:val="A71930"/>
          <w:szCs w:val="22"/>
        </w:rPr>
        <w:t>Entscheidungsvorschla</w:t>
      </w:r>
      <w:r>
        <w:rPr>
          <w:rFonts w:cs="Arial"/>
          <w:b/>
          <w:color w:val="A71930"/>
          <w:szCs w:val="22"/>
        </w:rPr>
        <w:t>g</w:t>
      </w:r>
    </w:p>
    <w:p w14:paraId="2C2B1D35" w14:textId="51FD3BA2" w:rsidR="00917A45" w:rsidRPr="00FD370C" w:rsidRDefault="000E2809" w:rsidP="00917A45">
      <w:pPr>
        <w:spacing w:before="0" w:after="120" w:line="240" w:lineRule="auto"/>
        <w:rPr>
          <w:rFonts w:cs="Arial"/>
          <w:szCs w:val="22"/>
        </w:rPr>
      </w:pPr>
      <w:r>
        <w:rPr>
          <w:rFonts w:cs="Arial"/>
          <w:szCs w:val="22"/>
        </w:rPr>
        <w:t>Das Kriterium ist</w:t>
      </w:r>
      <w:r w:rsidR="00917A45">
        <w:rPr>
          <w:rFonts w:cs="Arial"/>
          <w:szCs w:val="22"/>
        </w:rPr>
        <w:t xml:space="preserve"> </w:t>
      </w:r>
      <w:r>
        <w:rPr>
          <w:rFonts w:cs="Arial"/>
          <w:szCs w:val="22"/>
        </w:rPr>
        <w:t>e</w:t>
      </w:r>
      <w:r w:rsidRPr="00FD370C">
        <w:rPr>
          <w:rFonts w:cs="Arial"/>
          <w:szCs w:val="22"/>
        </w:rPr>
        <w:t>rfüllt</w:t>
      </w:r>
      <w:r>
        <w:rPr>
          <w:rFonts w:cs="Arial"/>
          <w:szCs w:val="22"/>
        </w:rPr>
        <w:t>.</w:t>
      </w:r>
    </w:p>
    <w:p w14:paraId="65D9FDF2" w14:textId="77777777" w:rsidR="00917A45" w:rsidRPr="00917A45" w:rsidRDefault="00F723CB" w:rsidP="00917A45">
      <w:pPr>
        <w:pStyle w:val="AufzhlungAuflagen"/>
        <w:numPr>
          <w:ilvl w:val="0"/>
          <w:numId w:val="0"/>
        </w:numPr>
        <w:ind w:left="357" w:hanging="357"/>
        <w:rPr>
          <w:i/>
        </w:rPr>
      </w:pPr>
      <w:r w:rsidRPr="00FD370C">
        <w:t>Das Gutachter</w:t>
      </w:r>
      <w:r w:rsidR="00466760">
        <w:t>:innen</w:t>
      </w:r>
      <w:r w:rsidRPr="00FD370C">
        <w:t>gremium gibt folgende Empfehlungen:</w:t>
      </w:r>
    </w:p>
    <w:p w14:paraId="285A0410" w14:textId="64271B0D" w:rsidR="00F723CB" w:rsidRPr="003B40E2" w:rsidRDefault="00917A45" w:rsidP="00917A45">
      <w:pPr>
        <w:pStyle w:val="AufzhlungAuflagen"/>
        <w:rPr>
          <w:i/>
        </w:rPr>
      </w:pPr>
      <w:r>
        <w:t xml:space="preserve">Die im Modul 15 vorgesehenen Hospitationen sollten von allen Studierenden </w:t>
      </w:r>
      <w:r w:rsidR="00535A83">
        <w:t xml:space="preserve">verbindlich </w:t>
      </w:r>
      <w:r w:rsidR="00F847F2">
        <w:t xml:space="preserve">absolviert </w:t>
      </w:r>
      <w:r>
        <w:t xml:space="preserve"> werden. </w:t>
      </w:r>
    </w:p>
    <w:p w14:paraId="65E9BD6A" w14:textId="293B130C" w:rsidR="003B40E2" w:rsidRDefault="003B40E2" w:rsidP="003B40E2">
      <w:pPr>
        <w:pStyle w:val="AufzhlungAuflagen"/>
      </w:pPr>
      <w:r>
        <w:t>I</w:t>
      </w:r>
      <w:r w:rsidRPr="003B40E2">
        <w:t>m Studiengang vermittelten digitalen Handlungskompetenzen</w:t>
      </w:r>
      <w:r>
        <w:t xml:space="preserve"> sollten</w:t>
      </w:r>
      <w:r w:rsidRPr="003B40E2">
        <w:t xml:space="preserve"> im Modulhandbuch verankert sein und entsprechend dargestellt werden.</w:t>
      </w:r>
    </w:p>
    <w:p w14:paraId="24EF85BB" w14:textId="77777777" w:rsidR="004A12CD" w:rsidRPr="00FD370C" w:rsidRDefault="004A12CD" w:rsidP="00CF5A62">
      <w:pPr>
        <w:spacing w:before="0" w:after="120" w:line="240" w:lineRule="auto"/>
        <w:rPr>
          <w:rFonts w:cs="Arial"/>
          <w:szCs w:val="22"/>
        </w:rPr>
      </w:pPr>
    </w:p>
    <w:p w14:paraId="5A519A4E" w14:textId="0DE23775" w:rsidR="00E746E1" w:rsidRPr="002B74BB" w:rsidRDefault="00E746E1" w:rsidP="007244DF">
      <w:pPr>
        <w:pStyle w:val="berschrift4"/>
        <w:spacing w:before="0"/>
      </w:pPr>
      <w:bookmarkStart w:id="50" w:name="_Mobilität_(§_12"/>
      <w:bookmarkStart w:id="51" w:name="_Toc141346979"/>
      <w:bookmarkEnd w:id="50"/>
      <w:r w:rsidRPr="002B74BB">
        <w:t>Mobilität</w:t>
      </w:r>
      <w:r w:rsidR="0020319C" w:rsidRPr="002B74BB">
        <w:t xml:space="preserve"> </w:t>
      </w:r>
      <w:hyperlink w:anchor="StudiengangskonzeptAbs1_2" w:history="1">
        <w:r w:rsidR="0020319C" w:rsidRPr="00C17FA1">
          <w:rPr>
            <w:rStyle w:val="Hyperlink"/>
          </w:rPr>
          <w:t>(</w:t>
        </w:r>
        <w:r w:rsidR="0020319C" w:rsidRPr="00C17FA1">
          <w:rPr>
            <w:rStyle w:val="Hyperlink"/>
            <w:rFonts w:cs="Arial"/>
          </w:rPr>
          <w:t>§ 12 Abs. 1 Satz 4 MRVO)</w:t>
        </w:r>
        <w:bookmarkEnd w:id="51"/>
      </w:hyperlink>
    </w:p>
    <w:p w14:paraId="6210F90C" w14:textId="13EA1CFF" w:rsidR="00F723CB" w:rsidRDefault="003336AB" w:rsidP="007244DF">
      <w:pPr>
        <w:rPr>
          <w:rFonts w:cs="Arial"/>
          <w:b/>
          <w:color w:val="A71930"/>
          <w:szCs w:val="22"/>
        </w:rPr>
      </w:pPr>
      <w:r w:rsidRPr="002B74BB">
        <w:rPr>
          <w:rFonts w:cs="Arial"/>
          <w:b/>
          <w:color w:val="A71930"/>
          <w:szCs w:val="22"/>
        </w:rPr>
        <w:t>Sachstand</w:t>
      </w:r>
      <w:r w:rsidRPr="002B74BB" w:rsidDel="003336AB">
        <w:rPr>
          <w:rFonts w:cs="Arial"/>
          <w:b/>
          <w:color w:val="A71930"/>
          <w:szCs w:val="22"/>
        </w:rPr>
        <w:t xml:space="preserve"> </w:t>
      </w:r>
    </w:p>
    <w:p w14:paraId="6CBB6CA4" w14:textId="77777777" w:rsidR="003027C3" w:rsidRDefault="003027C3" w:rsidP="003027C3">
      <w:pPr>
        <w:rPr>
          <w:iCs/>
          <w:highlight w:val="lightGray"/>
        </w:rPr>
      </w:pPr>
      <w:bookmarkStart w:id="52" w:name="_Hlk35861483"/>
      <w:r w:rsidRPr="003027C3">
        <w:t>Mobilitätsfenster sind aufgrund der Studienstruktur gegeben, da alle Module innerhalb von einem oder zwei Semestern abgeschlossen werden. Die Studierenden werden vom Career Center und International Office über die Möglichkeit von Auslandssemestern und -praktika informiert und bei der diesbezüglichen Planung unterstützt.</w:t>
      </w:r>
    </w:p>
    <w:p w14:paraId="6122772D" w14:textId="766A02EE" w:rsidR="003027C3" w:rsidRPr="003027C3" w:rsidRDefault="003027C3" w:rsidP="003027C3">
      <w:r w:rsidRPr="003027C3">
        <w:lastRenderedPageBreak/>
        <w:t xml:space="preserve">Die Anerkennung von in anderen Studiengängen erbrachten Leistungen ist in § 14 der RPO gemäß den Vorgaben der Lissabon-Konvention geregelt. </w:t>
      </w:r>
    </w:p>
    <w:bookmarkEnd w:id="52"/>
    <w:p w14:paraId="418E5CC3" w14:textId="77777777" w:rsidR="007244DF" w:rsidRDefault="00F723CB" w:rsidP="007244DF">
      <w:pPr>
        <w:rPr>
          <w:rFonts w:cs="Arial"/>
          <w:b/>
          <w:color w:val="A71930"/>
          <w:szCs w:val="22"/>
        </w:rPr>
      </w:pPr>
      <w:r w:rsidRPr="002B74BB">
        <w:rPr>
          <w:rFonts w:cs="Arial"/>
          <w:b/>
          <w:color w:val="A71930"/>
          <w:szCs w:val="22"/>
        </w:rPr>
        <w:t>Bewertung: Stärken und Entwicklungsbedarf</w:t>
      </w:r>
    </w:p>
    <w:p w14:paraId="36C1E523" w14:textId="1EE14541" w:rsidR="004A12CD" w:rsidRPr="00CF5A62" w:rsidRDefault="00D62DB3" w:rsidP="008E693E">
      <w:r w:rsidRPr="00D62DB3">
        <w:t>Die Anerkennung von Studienleistungen entsprechend der Lissabon-Konvention ist nach Ein-schätzung der Gutachter:innen in § 14 RPO geregelt. Nach Auffassung der Gutachter:innen sind in den Studiengängen geeignete Rahmenbedingungen gegeben, die einen Auslandsaufenthalt der Studierenden an einer anderen Hochschule ermöglichen.</w:t>
      </w:r>
    </w:p>
    <w:p w14:paraId="1BE8472E" w14:textId="77777777" w:rsidR="00D62DB3" w:rsidRPr="00F00AAB" w:rsidRDefault="00D62DB3" w:rsidP="003501A1">
      <w:pPr>
        <w:pStyle w:val="Titel"/>
      </w:pPr>
      <w:r w:rsidRPr="00457100">
        <w:t>Entscheidungsvorschla</w:t>
      </w:r>
      <w:r>
        <w:t>g</w:t>
      </w:r>
    </w:p>
    <w:p w14:paraId="38FF7F49" w14:textId="77777777" w:rsidR="00D62DB3" w:rsidRDefault="00D62DB3" w:rsidP="00D62DB3">
      <w:pPr>
        <w:spacing w:before="0"/>
        <w:rPr>
          <w:rFonts w:cs="Arial"/>
          <w:i/>
          <w:szCs w:val="22"/>
        </w:rPr>
      </w:pPr>
      <w:r>
        <w:rPr>
          <w:rFonts w:cs="Arial"/>
          <w:szCs w:val="22"/>
        </w:rPr>
        <w:t xml:space="preserve">Das Kriterium ist erfüllt. </w:t>
      </w:r>
    </w:p>
    <w:p w14:paraId="07CA4D64" w14:textId="77777777" w:rsidR="004A12CD" w:rsidRPr="002B74BB" w:rsidRDefault="004A12CD" w:rsidP="00CF5A62">
      <w:pPr>
        <w:spacing w:before="0" w:after="120" w:line="240" w:lineRule="auto"/>
        <w:rPr>
          <w:rFonts w:cs="Arial"/>
          <w:szCs w:val="22"/>
        </w:rPr>
      </w:pPr>
    </w:p>
    <w:p w14:paraId="5943F894" w14:textId="36B99CD5" w:rsidR="00E746E1" w:rsidRPr="002B74BB" w:rsidRDefault="00E746E1" w:rsidP="007244DF">
      <w:pPr>
        <w:pStyle w:val="berschrift4"/>
        <w:spacing w:before="0"/>
      </w:pPr>
      <w:bookmarkStart w:id="53" w:name="_Personelle_Ausstattung_(§"/>
      <w:bookmarkStart w:id="54" w:name="_Toc141346980"/>
      <w:bookmarkEnd w:id="53"/>
      <w:r w:rsidRPr="002B74BB">
        <w:t>Personelle Ausstattung</w:t>
      </w:r>
      <w:r w:rsidR="00251493" w:rsidRPr="002B74BB">
        <w:t xml:space="preserve"> </w:t>
      </w:r>
      <w:hyperlink w:anchor="StudiengangskonzeptAbs2" w:history="1">
        <w:r w:rsidR="00251493" w:rsidRPr="00C17FA1">
          <w:rPr>
            <w:rStyle w:val="Hyperlink"/>
          </w:rPr>
          <w:t>(</w:t>
        </w:r>
        <w:r w:rsidR="00251493" w:rsidRPr="00C17FA1">
          <w:rPr>
            <w:rStyle w:val="Hyperlink"/>
            <w:rFonts w:cs="Arial"/>
          </w:rPr>
          <w:t>§ 12 Abs. 2 MRVO)</w:t>
        </w:r>
        <w:bookmarkEnd w:id="54"/>
      </w:hyperlink>
    </w:p>
    <w:p w14:paraId="04C0B028" w14:textId="29073CFE" w:rsidR="00F723CB" w:rsidRDefault="003336AB" w:rsidP="007244DF">
      <w:pPr>
        <w:rPr>
          <w:rFonts w:cs="Arial"/>
          <w:b/>
          <w:color w:val="A71930"/>
          <w:szCs w:val="22"/>
        </w:rPr>
      </w:pPr>
      <w:r w:rsidRPr="002B74BB">
        <w:rPr>
          <w:rFonts w:cs="Arial"/>
          <w:b/>
          <w:color w:val="A71930"/>
          <w:szCs w:val="22"/>
        </w:rPr>
        <w:t>Sachstand</w:t>
      </w:r>
      <w:r w:rsidRPr="002B74BB" w:rsidDel="003336AB">
        <w:rPr>
          <w:rFonts w:cs="Arial"/>
          <w:b/>
          <w:color w:val="A71930"/>
          <w:szCs w:val="22"/>
        </w:rPr>
        <w:t xml:space="preserve"> </w:t>
      </w:r>
    </w:p>
    <w:p w14:paraId="43A13EA1" w14:textId="596CD900" w:rsidR="00245F65" w:rsidRDefault="00202B2D" w:rsidP="00351A25">
      <w:bookmarkStart w:id="55" w:name="_Hlk35861509"/>
      <w:r>
        <w:t xml:space="preserve">Die Hochschule hat eine Lehrverflechtungsmatrix zu den hauptamtlich Lehrenden eingereicht. Aus dieser gehen die Lehrenden, deren Titel/Qualifikation, ihre Denomination/Lehrgebiet, die einzelne Lehrverpflichtung insgesamt sowie die Module, in denen gelehrt wird und die SWS, die im vorliegenden Studiengang gelehrt werden, hervor. </w:t>
      </w:r>
    </w:p>
    <w:p w14:paraId="71445056" w14:textId="33A90953" w:rsidR="00DC29D6" w:rsidRDefault="00245F65" w:rsidP="00351A25">
      <w:r>
        <w:t>D</w:t>
      </w:r>
      <w:r w:rsidR="00202B2D">
        <w:t xml:space="preserve">ie von den im Studiengang zu erbringenden </w:t>
      </w:r>
      <w:r>
        <w:t>80</w:t>
      </w:r>
      <w:r w:rsidR="00202B2D">
        <w:t xml:space="preserve"> SWS</w:t>
      </w:r>
      <w:r>
        <w:t>, werden zu 60</w:t>
      </w:r>
      <w:r w:rsidR="003C1347">
        <w:t> %</w:t>
      </w:r>
      <w:r>
        <w:t xml:space="preserve"> (48 SWS) von </w:t>
      </w:r>
      <w:r w:rsidR="00BD249F">
        <w:t>hauptamtlichen</w:t>
      </w:r>
      <w:r>
        <w:t xml:space="preserve"> Professor:innen abgedeckt. </w:t>
      </w:r>
      <w:r w:rsidR="00202B2D">
        <w:t xml:space="preserve">Aus einer weiteren </w:t>
      </w:r>
      <w:r>
        <w:t>Tabelle</w:t>
      </w:r>
      <w:r w:rsidR="00202B2D">
        <w:t xml:space="preserve"> gehen die Lehrbeauftragten sowie deren Titel/Qualifikation, die Themen der Lehrveranstaltung sowie die Module, in denen gelehrt wird und die SWS hervor. Die Lehrbeauftragten decken </w:t>
      </w:r>
      <w:r w:rsidR="0051613C">
        <w:t>15 </w:t>
      </w:r>
      <w:r w:rsidR="003C1347">
        <w:t xml:space="preserve">% </w:t>
      </w:r>
      <w:r w:rsidR="00202B2D">
        <w:t>(</w:t>
      </w:r>
      <w:r w:rsidR="0051613C">
        <w:t xml:space="preserve">12 </w:t>
      </w:r>
      <w:r w:rsidR="00202B2D">
        <w:t xml:space="preserve">SWS) der Lehre ab. </w:t>
      </w:r>
      <w:r w:rsidR="00DC29D6">
        <w:t>20 SWS (25</w:t>
      </w:r>
      <w:r w:rsidR="003C1347">
        <w:t> </w:t>
      </w:r>
      <w:r w:rsidR="00DC29D6">
        <w:t xml:space="preserve">%) </w:t>
      </w:r>
      <w:r w:rsidR="006A28A5">
        <w:t xml:space="preserve">werden </w:t>
      </w:r>
      <w:r w:rsidR="00DC29D6">
        <w:t xml:space="preserve">von </w:t>
      </w:r>
      <w:r w:rsidR="0051613C">
        <w:t xml:space="preserve">wissenschaftlichen Mitarbeitenden </w:t>
      </w:r>
      <w:r w:rsidR="00DC29D6">
        <w:t>erbracht.</w:t>
      </w:r>
      <w:r w:rsidR="003C1115">
        <w:t xml:space="preserve"> Das entspricht den Vorgaben des </w:t>
      </w:r>
      <w:r w:rsidR="003C1115" w:rsidRPr="003C1115">
        <w:t>Anerkennungsbescheides der Fakultät Humanwissenschaften vom Land</w:t>
      </w:r>
      <w:r w:rsidR="003C1115">
        <w:t>, demnach</w:t>
      </w:r>
      <w:r w:rsidR="003C1115" w:rsidRPr="003C1115">
        <w:t xml:space="preserve"> müssen mindestens 60 % der Lehrnachfrage von fest angestelltem professoralem Lehrpersonal abgedeckt</w:t>
      </w:r>
      <w:r w:rsidR="00BA1804">
        <w:t xml:space="preserve"> werden</w:t>
      </w:r>
      <w:r w:rsidR="003C1115" w:rsidRPr="003C1115">
        <w:t>, maximal 40 % können über hauptamtliche wissenschaftliche Mitarbeite</w:t>
      </w:r>
      <w:r w:rsidR="00BA1804">
        <w:t xml:space="preserve">r:innen </w:t>
      </w:r>
      <w:r w:rsidR="003C1115" w:rsidRPr="003C1115">
        <w:t>sowie Lehraufträge erbracht werden.</w:t>
      </w:r>
    </w:p>
    <w:p w14:paraId="0AAA31CA" w14:textId="063291C4" w:rsidR="003C1115" w:rsidRDefault="003C1115" w:rsidP="003C1115">
      <w:r w:rsidRPr="00B241CA">
        <w:t>Die Betreuungsrelation von hauptamtlichen Professor:innen zu Studierenden beträgt etwa 1:30 bis 1:40</w:t>
      </w:r>
      <w:r>
        <w:t>.</w:t>
      </w:r>
    </w:p>
    <w:p w14:paraId="3C33C405" w14:textId="600846B6" w:rsidR="003C1115" w:rsidRDefault="003C1115" w:rsidP="003C1115">
      <w:pPr>
        <w:rPr>
          <w:rFonts w:cs="Arial"/>
          <w:iCs/>
          <w:szCs w:val="22"/>
        </w:rPr>
      </w:pPr>
      <w:r>
        <w:t xml:space="preserve">Die Hochschule hat das berufliche Profil der Lehrenden gelistet. Hierin sind der wissenschaftliche </w:t>
      </w:r>
      <w:r w:rsidRPr="003C1115">
        <w:t xml:space="preserve">Werdegang, die Qualifikation sowie die Arbeits- und Forschungsschwerpunkte der Lehrenden festgehalten. Professuren werden über ein ordnungsgemäßes Berufungsverfahren ausgeschrieben und besetzt. </w:t>
      </w:r>
      <w:r w:rsidR="00BA1804">
        <w:t>Stellen für w</w:t>
      </w:r>
      <w:r w:rsidRPr="003C1115">
        <w:t>issenschaftlich</w:t>
      </w:r>
      <w:r w:rsidR="00BA1804">
        <w:t>e</w:t>
      </w:r>
      <w:r w:rsidRPr="003C1115">
        <w:t xml:space="preserve"> Mitarbeite</w:t>
      </w:r>
      <w:r w:rsidR="00BA1804">
        <w:t xml:space="preserve">r:innen </w:t>
      </w:r>
      <w:r w:rsidRPr="003C1115">
        <w:t xml:space="preserve">werden ebenfalls öffentlich ausgeschrieben und besetzt. Die MSH fördert aber ebenso ihren eigenen </w:t>
      </w:r>
      <w:r w:rsidR="00BA1804">
        <w:t>w</w:t>
      </w:r>
      <w:r w:rsidRPr="003C1115">
        <w:t>issenschaftlichen Nach</w:t>
      </w:r>
      <w:r w:rsidRPr="003C1115">
        <w:lastRenderedPageBreak/>
        <w:t>wuchs durch entsprechende Stellen. Weiterhin verfügt die Hochschule über ein Personalentwicklungskonzept. Im Masterstudiengang werden durchgängig W3 Professuren eingesetzt, die ebenfalls als wesentliche Aufgabe in die Forschung involviert sind.</w:t>
      </w:r>
    </w:p>
    <w:p w14:paraId="3B3520CC" w14:textId="4263B5A8" w:rsidR="003C1115" w:rsidRDefault="003C1115" w:rsidP="003C1115">
      <w:r>
        <w:t>Die MSH unterstützt die Professionalisierung ihrer Lehrenden durch wissenschaftliche Weiterbildung. Seit dem Wintersemester 2022/2023 wird allen Lehrenden, die noch nicht anderweitige hochschuldidaktische Qualifikationen erworben haben, das Absolvieren des MSH Masterstudiengangs Medical and Health Education empfohlen oder das Belegen von ausgewählten Modulen.</w:t>
      </w:r>
    </w:p>
    <w:bookmarkEnd w:id="55"/>
    <w:p w14:paraId="6F32A90C" w14:textId="35D46C2E" w:rsidR="00F723CB" w:rsidRDefault="00F723CB" w:rsidP="007244DF">
      <w:pPr>
        <w:rPr>
          <w:rFonts w:cs="Arial"/>
          <w:i/>
          <w:szCs w:val="22"/>
        </w:rPr>
      </w:pPr>
      <w:r w:rsidRPr="002B74BB">
        <w:rPr>
          <w:rFonts w:cs="Arial"/>
          <w:b/>
          <w:color w:val="A71930"/>
          <w:szCs w:val="22"/>
        </w:rPr>
        <w:t xml:space="preserve">Bewertung: Stärken und Entwicklungsbedarf </w:t>
      </w:r>
    </w:p>
    <w:p w14:paraId="039DE511" w14:textId="31FD8328" w:rsidR="00D62DB3" w:rsidRPr="00D62DB3" w:rsidRDefault="00D62DB3" w:rsidP="008E693E">
      <w:r w:rsidRPr="00D62DB3">
        <w:t xml:space="preserve">Nach Einschätzung der Gutachter:innen ist für die Lehre im </w:t>
      </w:r>
      <w:r w:rsidR="008E693E">
        <w:t>Masterstudiengang „Psychologie mit Schwerpunkt Klinische Psychologie und Psychotherapie“</w:t>
      </w:r>
      <w:r w:rsidRPr="00D62DB3">
        <w:t xml:space="preserve"> ausreichend fachlich und methodisch-didaktisch qualifiziertes Lehrpersonal vorgesehen. Die dargelegten Maßnahmen zur Auswahl und Qualifizierung von Lehrpersonal halten die Gutachter:innen für geeignet. </w:t>
      </w:r>
      <w:r w:rsidR="008E693E">
        <w:t xml:space="preserve">Seit der Akkreditierung vor sieben Jahren ist noch </w:t>
      </w:r>
      <w:r w:rsidR="00BA1804">
        <w:t>ein</w:t>
      </w:r>
      <w:r w:rsidR="008E693E">
        <w:t xml:space="preserve">mal ein deutlicher personelle Aufwuchs im Bereich der Psychologie erfolgt und damit </w:t>
      </w:r>
      <w:r w:rsidR="00BA1804">
        <w:t xml:space="preserve">verbunden </w:t>
      </w:r>
      <w:r w:rsidR="008E693E">
        <w:t xml:space="preserve">auch die </w:t>
      </w:r>
      <w:r w:rsidR="008E693E" w:rsidRPr="008E693E">
        <w:t>in den Studiengang eingebundene fachliche Expertise. So sind inzwischen alle im Studiengang vermittelte</w:t>
      </w:r>
      <w:r w:rsidR="00BA1804">
        <w:t>n</w:t>
      </w:r>
      <w:r w:rsidR="008E693E" w:rsidRPr="008E693E">
        <w:t xml:space="preserve"> Therapieschulen auch personell an der Hochschule vertreten.</w:t>
      </w:r>
      <w:r w:rsidR="008E693E">
        <w:t xml:space="preserve"> Die Gutachter:innen nehmen d</w:t>
      </w:r>
      <w:r w:rsidR="00BA1804">
        <w:t xml:space="preserve">ies </w:t>
      </w:r>
      <w:r w:rsidR="008E693E">
        <w:t xml:space="preserve">positiv zur Kenntnis. </w:t>
      </w:r>
    </w:p>
    <w:p w14:paraId="5B6969C2" w14:textId="77777777" w:rsidR="00D62DB3" w:rsidRPr="008E693E" w:rsidRDefault="00D62DB3" w:rsidP="003501A1">
      <w:pPr>
        <w:pStyle w:val="Titel"/>
      </w:pPr>
      <w:r w:rsidRPr="008E693E">
        <w:t>Entscheidungsvorschlag</w:t>
      </w:r>
    </w:p>
    <w:p w14:paraId="760B143C" w14:textId="77777777" w:rsidR="00D62DB3" w:rsidRPr="00185167" w:rsidRDefault="00D62DB3" w:rsidP="00D62DB3">
      <w:pPr>
        <w:spacing w:before="0"/>
        <w:rPr>
          <w:rFonts w:cs="Arial"/>
          <w:i/>
          <w:szCs w:val="22"/>
        </w:rPr>
      </w:pPr>
      <w:r>
        <w:rPr>
          <w:rFonts w:cs="Arial"/>
          <w:szCs w:val="22"/>
        </w:rPr>
        <w:t>Das Kriterium ist e</w:t>
      </w:r>
      <w:r w:rsidRPr="00FD370C">
        <w:rPr>
          <w:rFonts w:cs="Arial"/>
          <w:szCs w:val="22"/>
        </w:rPr>
        <w:t>rfüllt</w:t>
      </w:r>
      <w:r>
        <w:rPr>
          <w:rFonts w:cs="Arial"/>
          <w:szCs w:val="22"/>
        </w:rPr>
        <w:t>.</w:t>
      </w:r>
      <w:r w:rsidRPr="00FD370C">
        <w:rPr>
          <w:rFonts w:cs="Arial"/>
          <w:szCs w:val="22"/>
        </w:rPr>
        <w:t xml:space="preserve"> </w:t>
      </w:r>
    </w:p>
    <w:p w14:paraId="485D0AF8" w14:textId="77777777" w:rsidR="004A12CD" w:rsidRPr="002B74BB" w:rsidRDefault="004A12CD" w:rsidP="00CF5A62">
      <w:pPr>
        <w:spacing w:before="0" w:after="120" w:line="240" w:lineRule="auto"/>
        <w:rPr>
          <w:rFonts w:cs="Arial"/>
          <w:szCs w:val="22"/>
        </w:rPr>
      </w:pPr>
    </w:p>
    <w:p w14:paraId="67C3B792" w14:textId="18CB1C64" w:rsidR="00E746E1" w:rsidRPr="002B74BB" w:rsidRDefault="00E746E1" w:rsidP="007244DF">
      <w:pPr>
        <w:pStyle w:val="berschrift4"/>
        <w:spacing w:before="0"/>
      </w:pPr>
      <w:bookmarkStart w:id="56" w:name="_Ressourcenausstattung_(§_12"/>
      <w:bookmarkStart w:id="57" w:name="_Toc141346981"/>
      <w:bookmarkEnd w:id="56"/>
      <w:r w:rsidRPr="002B74BB">
        <w:t>Ressourcenausstattung</w:t>
      </w:r>
      <w:r w:rsidR="00251493" w:rsidRPr="002B74BB">
        <w:t xml:space="preserve"> </w:t>
      </w:r>
      <w:hyperlink w:anchor="StudiengangskonzeptAbs3" w:history="1">
        <w:r w:rsidR="00251493" w:rsidRPr="00C17FA1">
          <w:rPr>
            <w:rStyle w:val="Hyperlink"/>
          </w:rPr>
          <w:t>(</w:t>
        </w:r>
        <w:r w:rsidR="00251493" w:rsidRPr="00C17FA1">
          <w:rPr>
            <w:rStyle w:val="Hyperlink"/>
            <w:rFonts w:cs="Arial"/>
          </w:rPr>
          <w:t>§ 12 Abs. 3 MRVO)</w:t>
        </w:r>
        <w:bookmarkEnd w:id="57"/>
      </w:hyperlink>
    </w:p>
    <w:p w14:paraId="3323B9CE" w14:textId="62F679AB" w:rsidR="00F723CB" w:rsidRDefault="003336AB" w:rsidP="007244DF">
      <w:pPr>
        <w:rPr>
          <w:rFonts w:cs="Arial"/>
          <w:b/>
          <w:color w:val="A71930"/>
          <w:szCs w:val="22"/>
        </w:rPr>
      </w:pPr>
      <w:r w:rsidRPr="002B74BB">
        <w:rPr>
          <w:rFonts w:cs="Arial"/>
          <w:b/>
          <w:color w:val="A71930"/>
          <w:szCs w:val="22"/>
        </w:rPr>
        <w:t>Sachstand</w:t>
      </w:r>
      <w:r w:rsidRPr="002B74BB" w:rsidDel="003336AB">
        <w:rPr>
          <w:rFonts w:cs="Arial"/>
          <w:b/>
          <w:color w:val="A71930"/>
          <w:szCs w:val="22"/>
        </w:rPr>
        <w:t xml:space="preserve"> </w:t>
      </w:r>
    </w:p>
    <w:p w14:paraId="1E1E477B" w14:textId="3EBFE758" w:rsidR="00245F65" w:rsidRDefault="00151400" w:rsidP="00FF5759">
      <w:bookmarkStart w:id="58" w:name="_Hlk35861548"/>
      <w:r>
        <w:t>De</w:t>
      </w:r>
      <w:r w:rsidRPr="00151400">
        <w:t xml:space="preserve">r Studiengang </w:t>
      </w:r>
      <w:r>
        <w:t xml:space="preserve">kann </w:t>
      </w:r>
      <w:r w:rsidRPr="00151400">
        <w:t xml:space="preserve">zusätzlich auf </w:t>
      </w:r>
      <w:r>
        <w:t>66</w:t>
      </w:r>
      <w:r w:rsidRPr="00151400">
        <w:t>,</w:t>
      </w:r>
      <w:r>
        <w:t>6</w:t>
      </w:r>
      <w:r w:rsidRPr="00151400">
        <w:t xml:space="preserve"> VZÄ nicht-wissenschaftliche Mitarbeiter</w:t>
      </w:r>
      <w:r w:rsidR="00BA1804">
        <w:t>:</w:t>
      </w:r>
      <w:r w:rsidRPr="00151400">
        <w:t xml:space="preserve">innen im Bereich </w:t>
      </w:r>
      <w:r w:rsidR="00245F65" w:rsidRPr="00245F65">
        <w:t>Studierendenservice, Bewerbermanagement, Studienberatung, Marketing, Ressourcenmanagement, IT</w:t>
      </w:r>
      <w:r w:rsidR="00245F65" w:rsidRPr="00151400">
        <w:t xml:space="preserve"> </w:t>
      </w:r>
      <w:r w:rsidRPr="00151400">
        <w:t>etc. zurückgreifen. Für übungsintensive Module werden Tutorien angeboten</w:t>
      </w:r>
      <w:r w:rsidR="00245F65">
        <w:t>.</w:t>
      </w:r>
    </w:p>
    <w:p w14:paraId="167D019C" w14:textId="092E5859" w:rsidR="00FF5759" w:rsidRPr="00FF5759" w:rsidRDefault="00FF5759" w:rsidP="00FF5759">
      <w:r w:rsidRPr="00FF5759">
        <w:t>Die verschiedenen Standorte der MSH Medical School Hamburg umfassen mehr</w:t>
      </w:r>
      <w:r>
        <w:t xml:space="preserve"> </w:t>
      </w:r>
      <w:r w:rsidRPr="00FF5759">
        <w:t xml:space="preserve">als </w:t>
      </w:r>
      <w:r>
        <w:t>22</w:t>
      </w:r>
      <w:r w:rsidRPr="00FF5759">
        <w:t xml:space="preserve">.500 qm </w:t>
      </w:r>
      <w:r w:rsidR="00151400">
        <w:t>modern ausgestattete</w:t>
      </w:r>
      <w:r w:rsidR="00BA1804">
        <w:t>r</w:t>
      </w:r>
      <w:r w:rsidR="00151400">
        <w:t xml:space="preserve"> </w:t>
      </w:r>
      <w:r w:rsidRPr="00FF5759">
        <w:t>Seminar- und Praxisräume</w:t>
      </w:r>
      <w:r>
        <w:t xml:space="preserve"> in Hamburg</w:t>
      </w:r>
      <w:r w:rsidRPr="00FF5759">
        <w:t>. An die MSH an</w:t>
      </w:r>
      <w:r w:rsidR="00885ADA">
        <w:t>ge</w:t>
      </w:r>
      <w:r w:rsidRPr="00FF5759">
        <w:t>gliedert sind verschiedene Institute und Ambulanzen</w:t>
      </w:r>
      <w:r w:rsidR="00BA1804">
        <w:t>,</w:t>
      </w:r>
      <w:r w:rsidRPr="00FF5759">
        <w:t xml:space="preserve"> u.a. die Psychotherapeutische Hochschulambulanz, das Institut für Psychotherapie und das Institut für Systemische Ausbildung.</w:t>
      </w:r>
    </w:p>
    <w:p w14:paraId="4AEC2DC2" w14:textId="7D62106B" w:rsidR="008C2336" w:rsidRPr="008C2336" w:rsidRDefault="008C2336" w:rsidP="008C2336">
      <w:pPr>
        <w:rPr>
          <w:rFonts w:ascii="Univers" w:hAnsi="Univers"/>
          <w:sz w:val="24"/>
        </w:rPr>
      </w:pPr>
      <w:r w:rsidRPr="008C2336">
        <w:t xml:space="preserve">Die MSH Medical School Hamburg verfügt über eine „wissenschaftliche Fachbibliothek ohne Archivierungsauftrag”. Die Bestände sind als Freihandbibliothek aufgestellt. Der Bestand beläuft </w:t>
      </w:r>
      <w:r w:rsidRPr="00245F65">
        <w:t>sich derzeit auf ca. 1</w:t>
      </w:r>
      <w:r w:rsidR="00245F65" w:rsidRPr="00245F65">
        <w:t>8</w:t>
      </w:r>
      <w:r w:rsidRPr="00245F65">
        <w:t>.000 Medien. Die Testothek mit rund 300 Testverfahren ist in den Biblio</w:t>
      </w:r>
      <w:r w:rsidRPr="008C2336">
        <w:t>theksbestand integriert und über den Online-Katalog recherchierbar. Das Datenbankangebot besteht aus den hochschuleigenen Online-Katalogen und den derzeit verwendeten E-Book-Platt</w:t>
      </w:r>
      <w:r w:rsidRPr="008C2336">
        <w:lastRenderedPageBreak/>
        <w:t xml:space="preserve">formen </w:t>
      </w:r>
      <w:proofErr w:type="spellStart"/>
      <w:r w:rsidRPr="008C2336">
        <w:t>MiliBib</w:t>
      </w:r>
      <w:proofErr w:type="spellEnd"/>
      <w:r w:rsidRPr="008C2336">
        <w:t xml:space="preserve"> und </w:t>
      </w:r>
      <w:proofErr w:type="spellStart"/>
      <w:r w:rsidRPr="008C2336">
        <w:t>ProQuest</w:t>
      </w:r>
      <w:proofErr w:type="spellEnd"/>
      <w:r w:rsidRPr="008C2336">
        <w:t xml:space="preserve"> </w:t>
      </w:r>
      <w:proofErr w:type="spellStart"/>
      <w:r w:rsidRPr="008C2336">
        <w:t>Ebook</w:t>
      </w:r>
      <w:proofErr w:type="spellEnd"/>
      <w:r w:rsidRPr="008C2336">
        <w:t xml:space="preserve"> Central. Die Fachdatenbanken, ebenso die E-Book-Plattformen, sind für alle </w:t>
      </w:r>
      <w:proofErr w:type="spellStart"/>
      <w:r w:rsidRPr="008C2336">
        <w:t>Nutze</w:t>
      </w:r>
      <w:r w:rsidR="00BA1804">
        <w:t>r:innen</w:t>
      </w:r>
      <w:proofErr w:type="spellEnd"/>
      <w:r w:rsidR="008F0992">
        <w:t>,</w:t>
      </w:r>
      <w:r w:rsidRPr="008C2336">
        <w:t xml:space="preserve"> unabhängig ihres derzeitigen persönlichen Standortes</w:t>
      </w:r>
      <w:r w:rsidR="008F0992">
        <w:t>,</w:t>
      </w:r>
      <w:r w:rsidRPr="008C2336">
        <w:t xml:space="preserve"> jederzeit auch außerhalb der Räumlichkeiten der Hochschule durch den hochschuleigenen VPN-Client (Virtual Private Network) nutzbar. Die Studierenden und Lehrenden der MSH haben weiterhin die Möglichkeit, alle wissenschaftlichen Bibliotheken Hamburgs zu nutzen. Die Kooperationen mit wissenschaftlichen Bibliotheken und die Öffnungszeiten der Bibliothek sowie der Bestand und die geplante Entwicklung der Testverfahren, Fachdatenbanken und Fachzeitschriften der Hochschulbibliothek werden ausführlich im Bibliothekskonzept dargestellt.</w:t>
      </w:r>
    </w:p>
    <w:p w14:paraId="2DDB0BC4" w14:textId="2DC0C2B4" w:rsidR="008C2336" w:rsidRDefault="008C2336" w:rsidP="008C2336">
      <w:r>
        <w:t>Zudem gibt es einen Kooperationsvertrag zwischen der MSH</w:t>
      </w:r>
      <w:r w:rsidR="00151400">
        <w:t xml:space="preserve"> </w:t>
      </w:r>
      <w:r>
        <w:t>und dem Zentrum für Diagnostik und Evaluation der Universität Hamburg, der</w:t>
      </w:r>
      <w:r w:rsidR="00151400">
        <w:t xml:space="preserve"> </w:t>
      </w:r>
      <w:r>
        <w:t>es Studierenden der Psychologie ermöglicht, psychologische Testverfahren in</w:t>
      </w:r>
      <w:r w:rsidR="00151400">
        <w:t xml:space="preserve"> </w:t>
      </w:r>
      <w:r>
        <w:t xml:space="preserve">der Testbibliothek auszuleihen. Der Bestand der Testbibliothek ist über den Campus-Katalog der Universität Hamburg recherchierbar. </w:t>
      </w:r>
      <w:r w:rsidR="008E693E" w:rsidRPr="008E693E">
        <w:t>E</w:t>
      </w:r>
      <w:r w:rsidRPr="008E693E">
        <w:t xml:space="preserve">in psychologisches Labor mit über 30 Arbeitsplätzen </w:t>
      </w:r>
      <w:r w:rsidR="008E693E" w:rsidRPr="008E693E">
        <w:t xml:space="preserve">ist </w:t>
      </w:r>
      <w:r w:rsidRPr="008E693E">
        <w:t>eingerichtet.</w:t>
      </w:r>
    </w:p>
    <w:bookmarkEnd w:id="58"/>
    <w:p w14:paraId="7C9BDCBD" w14:textId="627D98BD" w:rsidR="00F723CB" w:rsidRDefault="00F723CB" w:rsidP="007244DF">
      <w:pPr>
        <w:rPr>
          <w:rFonts w:cs="Arial"/>
          <w:i/>
          <w:szCs w:val="22"/>
        </w:rPr>
      </w:pPr>
      <w:r w:rsidRPr="002B74BB">
        <w:rPr>
          <w:rFonts w:cs="Arial"/>
          <w:b/>
          <w:color w:val="A71930"/>
          <w:szCs w:val="22"/>
        </w:rPr>
        <w:t xml:space="preserve">Bewertung: Stärken und Entwicklungsbedarf </w:t>
      </w:r>
    </w:p>
    <w:p w14:paraId="0C1A8F8F" w14:textId="7B4EB358" w:rsidR="00D62DB3" w:rsidRPr="00D62DB3" w:rsidRDefault="00D62DB3" w:rsidP="002D6FBE">
      <w:pPr>
        <w:rPr>
          <w:b/>
          <w:bCs/>
          <w:lang w:eastAsia="en-US"/>
        </w:rPr>
      </w:pPr>
      <w:r w:rsidRPr="00D62DB3">
        <w:t>Die Gutachter:innen nehmen die Bemühungen der Hochschule, die räumlich-sächliche Ausstattung der Hochschule kontinuierlich zu verbessern, positiv zur Kenntnis. Nach Einschätzung der Gutachter:innen sind an der Hochschule ausreichend gute Rahmenbedingungen an räumlicher und sächlicher Ausstattung sowie an administrativem Personal zur Durchführung d</w:t>
      </w:r>
      <w:r w:rsidR="002D6FBE">
        <w:t xml:space="preserve">es Masterstudiengangs gegeben. Der Standort in der Hamburg Hafen City und </w:t>
      </w:r>
      <w:r w:rsidR="00603A3F">
        <w:t xml:space="preserve">die von den Gutachter:innen </w:t>
      </w:r>
      <w:r w:rsidR="002D6FBE">
        <w:t xml:space="preserve">besichtigte Ausstattung der Aufenthaltsbereiche werden als sehr attraktiv wahrgenommen. </w:t>
      </w:r>
      <w:r w:rsidR="00924BAD">
        <w:t>Auch die Studierende</w:t>
      </w:r>
      <w:r w:rsidR="00603A3F">
        <w:t>n</w:t>
      </w:r>
      <w:r w:rsidR="00924BAD">
        <w:t xml:space="preserve"> bestätigen die </w:t>
      </w:r>
      <w:r w:rsidR="00B8421C">
        <w:t xml:space="preserve">sehr </w:t>
      </w:r>
      <w:r w:rsidR="00924BAD">
        <w:t xml:space="preserve">gute Ausstattung, Wünsche können eingebracht werden, </w:t>
      </w:r>
      <w:r w:rsidR="00800D0A">
        <w:t xml:space="preserve">und </w:t>
      </w:r>
      <w:r w:rsidR="00B8421C">
        <w:t>werden,</w:t>
      </w:r>
      <w:r w:rsidR="00800D0A">
        <w:t xml:space="preserve"> </w:t>
      </w:r>
      <w:r w:rsidR="00924BAD">
        <w:t>wenn möglich</w:t>
      </w:r>
      <w:r w:rsidR="00B8421C">
        <w:t>,</w:t>
      </w:r>
      <w:r w:rsidR="00924BAD">
        <w:t xml:space="preserve"> auch umgesetzt. Der Zugriff auf die notwendige Literatur ist von jedem Standort aus möglich.  </w:t>
      </w:r>
    </w:p>
    <w:p w14:paraId="027034C0" w14:textId="77777777" w:rsidR="00F723CB" w:rsidRPr="002B74BB" w:rsidRDefault="00F723CB" w:rsidP="003501A1">
      <w:pPr>
        <w:pStyle w:val="Titel"/>
      </w:pPr>
      <w:r w:rsidRPr="002B74BB">
        <w:t>Entscheidungsvorschlag</w:t>
      </w:r>
    </w:p>
    <w:p w14:paraId="0263E98D" w14:textId="750027FA" w:rsidR="00F723CB" w:rsidRDefault="000E2809" w:rsidP="00924BAD">
      <w:pPr>
        <w:spacing w:before="0" w:after="120" w:line="240" w:lineRule="auto"/>
        <w:rPr>
          <w:rFonts w:cs="Arial"/>
          <w:i/>
          <w:szCs w:val="22"/>
        </w:rPr>
      </w:pPr>
      <w:r>
        <w:rPr>
          <w:rFonts w:cs="Arial"/>
          <w:szCs w:val="22"/>
        </w:rPr>
        <w:t>Das Kriterium ist e</w:t>
      </w:r>
      <w:r w:rsidRPr="00FD370C">
        <w:rPr>
          <w:rFonts w:cs="Arial"/>
          <w:szCs w:val="22"/>
        </w:rPr>
        <w:t>rfüllt</w:t>
      </w:r>
      <w:r>
        <w:rPr>
          <w:rFonts w:cs="Arial"/>
          <w:szCs w:val="22"/>
        </w:rPr>
        <w:t>.</w:t>
      </w:r>
      <w:r w:rsidR="00F723CB" w:rsidRPr="002B74BB">
        <w:rPr>
          <w:rFonts w:cs="Arial"/>
          <w:szCs w:val="22"/>
        </w:rPr>
        <w:t xml:space="preserve"> </w:t>
      </w:r>
    </w:p>
    <w:p w14:paraId="599F6012" w14:textId="77777777" w:rsidR="004A12CD" w:rsidRPr="002B74BB" w:rsidRDefault="004A12CD" w:rsidP="00CF5A62">
      <w:pPr>
        <w:spacing w:before="0" w:after="120" w:line="240" w:lineRule="auto"/>
        <w:rPr>
          <w:rFonts w:cs="Arial"/>
          <w:szCs w:val="22"/>
        </w:rPr>
      </w:pPr>
    </w:p>
    <w:p w14:paraId="7DD00537" w14:textId="6BD3ECAD" w:rsidR="00E746E1" w:rsidRPr="002B74BB" w:rsidRDefault="00E746E1" w:rsidP="007244DF">
      <w:pPr>
        <w:pStyle w:val="berschrift4"/>
        <w:spacing w:before="0"/>
      </w:pPr>
      <w:bookmarkStart w:id="59" w:name="_Prüfungssystem_(§_12"/>
      <w:bookmarkStart w:id="60" w:name="_Toc141346982"/>
      <w:bookmarkEnd w:id="59"/>
      <w:r w:rsidRPr="002B74BB">
        <w:t>Prüfungssystem</w:t>
      </w:r>
      <w:r w:rsidR="00251493" w:rsidRPr="002B74BB">
        <w:t xml:space="preserve"> </w:t>
      </w:r>
      <w:hyperlink w:anchor="StudiengangskonzeptAbs4" w:history="1">
        <w:r w:rsidR="00251493" w:rsidRPr="00C17FA1">
          <w:rPr>
            <w:rStyle w:val="Hyperlink"/>
          </w:rPr>
          <w:t>(</w:t>
        </w:r>
        <w:r w:rsidR="00251493" w:rsidRPr="00C17FA1">
          <w:rPr>
            <w:rStyle w:val="Hyperlink"/>
            <w:rFonts w:cs="Arial"/>
          </w:rPr>
          <w:t>§ 12 Abs. 4 MRVO)</w:t>
        </w:r>
        <w:bookmarkEnd w:id="60"/>
      </w:hyperlink>
    </w:p>
    <w:p w14:paraId="752A27AA" w14:textId="3B2DA5CB" w:rsidR="00F723CB" w:rsidRDefault="003336AB" w:rsidP="007244DF">
      <w:pPr>
        <w:rPr>
          <w:rFonts w:cs="Arial"/>
          <w:b/>
          <w:color w:val="A71930"/>
          <w:szCs w:val="22"/>
        </w:rPr>
      </w:pPr>
      <w:r w:rsidRPr="002B74BB">
        <w:rPr>
          <w:rFonts w:cs="Arial"/>
          <w:b/>
          <w:color w:val="A71930"/>
          <w:szCs w:val="22"/>
        </w:rPr>
        <w:t>Sachstand</w:t>
      </w:r>
    </w:p>
    <w:p w14:paraId="449F6604" w14:textId="50D01427" w:rsidR="00567B28" w:rsidRDefault="00567B28" w:rsidP="00FB6D7F">
      <w:bookmarkStart w:id="61" w:name="_Hlk35861564"/>
      <w:r>
        <w:t>Die Prüfungsformen sind in den §§ 8 und 9 der RPO definiert und geregelt; der Umfang und die Dauer der Prüfungen sind angegeben.</w:t>
      </w:r>
      <w:r w:rsidR="00202B2D">
        <w:t xml:space="preserve"> In </w:t>
      </w:r>
      <w:r>
        <w:t xml:space="preserve">der Studien- und Prüfungsordnung </w:t>
      </w:r>
      <w:r w:rsidR="00202B2D">
        <w:t xml:space="preserve">für den </w:t>
      </w:r>
      <w:r>
        <w:t xml:space="preserve">Masterstudiengang </w:t>
      </w:r>
      <w:r w:rsidR="00202B2D">
        <w:t>sind die einzelnen Prüfungen modulbezogen festgelegt. In der Übersicht sind neben der Prüfungsform auch die Dauer in Minuten bzw. der Seitenumfang angegeben.</w:t>
      </w:r>
      <w:r>
        <w:t xml:space="preserve"> Folgende Prüfungen sind vorgesehen</w:t>
      </w:r>
      <w:r w:rsidR="00885ADA">
        <w:t xml:space="preserve">: </w:t>
      </w:r>
    </w:p>
    <w:p w14:paraId="231300B5" w14:textId="77777777" w:rsidR="00FB6D7F" w:rsidRPr="00FB6D7F" w:rsidRDefault="00FB6D7F" w:rsidP="00FB6D7F">
      <w:pPr>
        <w:kinsoku w:val="0"/>
        <w:overflowPunct w:val="0"/>
        <w:autoSpaceDE w:val="0"/>
        <w:autoSpaceDN w:val="0"/>
        <w:adjustRightInd w:val="0"/>
        <w:spacing w:before="9" w:line="240" w:lineRule="auto"/>
        <w:jc w:val="left"/>
        <w:rPr>
          <w:rFonts w:ascii="Times New Roman" w:hAnsi="Times New Roman"/>
          <w:sz w:val="3"/>
          <w:szCs w:val="3"/>
        </w:rPr>
      </w:pPr>
      <w:bookmarkStart w:id="62" w:name="bookmark0"/>
      <w:bookmarkEnd w:id="62"/>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6"/>
        <w:gridCol w:w="1288"/>
        <w:gridCol w:w="1288"/>
        <w:gridCol w:w="1288"/>
        <w:gridCol w:w="1289"/>
      </w:tblGrid>
      <w:tr w:rsidR="00FB6D7F" w:rsidRPr="00FB6D7F" w14:paraId="4E57F084" w14:textId="77777777" w:rsidTr="00FB6D7F">
        <w:trPr>
          <w:trHeight w:hRule="exact" w:val="290"/>
        </w:trPr>
        <w:tc>
          <w:tcPr>
            <w:tcW w:w="3116" w:type="dxa"/>
            <w:vMerge w:val="restart"/>
          </w:tcPr>
          <w:p w14:paraId="2B0EDBEC" w14:textId="77777777" w:rsidR="00FB6D7F" w:rsidRPr="00FB6D7F" w:rsidRDefault="00FB6D7F" w:rsidP="00FB6D7F">
            <w:pPr>
              <w:kinsoku w:val="0"/>
              <w:overflowPunct w:val="0"/>
              <w:autoSpaceDE w:val="0"/>
              <w:autoSpaceDN w:val="0"/>
              <w:adjustRightInd w:val="0"/>
              <w:spacing w:before="1" w:line="240" w:lineRule="auto"/>
              <w:ind w:left="104"/>
              <w:jc w:val="left"/>
              <w:rPr>
                <w:rFonts w:ascii="Times New Roman" w:hAnsi="Times New Roman"/>
                <w:sz w:val="18"/>
                <w:szCs w:val="18"/>
              </w:rPr>
            </w:pPr>
            <w:r w:rsidRPr="00FB6D7F">
              <w:rPr>
                <w:rFonts w:cs="Arial"/>
                <w:b/>
                <w:bCs/>
                <w:spacing w:val="-1"/>
                <w:sz w:val="18"/>
                <w:szCs w:val="18"/>
              </w:rPr>
              <w:t>Prüfungsform</w:t>
            </w:r>
          </w:p>
        </w:tc>
        <w:tc>
          <w:tcPr>
            <w:tcW w:w="5153" w:type="dxa"/>
            <w:gridSpan w:val="4"/>
          </w:tcPr>
          <w:p w14:paraId="7417C11A" w14:textId="77777777" w:rsidR="00FB6D7F" w:rsidRPr="00FB6D7F" w:rsidRDefault="00FB6D7F" w:rsidP="00FB6D7F">
            <w:pPr>
              <w:kinsoku w:val="0"/>
              <w:overflowPunct w:val="0"/>
              <w:autoSpaceDE w:val="0"/>
              <w:autoSpaceDN w:val="0"/>
              <w:adjustRightInd w:val="0"/>
              <w:spacing w:before="1" w:line="240" w:lineRule="auto"/>
              <w:ind w:left="102"/>
              <w:jc w:val="center"/>
              <w:rPr>
                <w:rFonts w:ascii="Times New Roman" w:hAnsi="Times New Roman"/>
                <w:sz w:val="18"/>
                <w:szCs w:val="18"/>
              </w:rPr>
            </w:pPr>
            <w:r w:rsidRPr="00FB6D7F">
              <w:rPr>
                <w:rFonts w:cs="Arial"/>
                <w:b/>
                <w:bCs/>
                <w:spacing w:val="-1"/>
                <w:sz w:val="18"/>
                <w:szCs w:val="18"/>
              </w:rPr>
              <w:t>Anzahl</w:t>
            </w:r>
            <w:r w:rsidRPr="00FB6D7F">
              <w:rPr>
                <w:rFonts w:cs="Arial"/>
                <w:b/>
                <w:bCs/>
                <w:spacing w:val="-2"/>
                <w:sz w:val="18"/>
                <w:szCs w:val="18"/>
              </w:rPr>
              <w:t xml:space="preserve"> </w:t>
            </w:r>
            <w:r w:rsidRPr="00FB6D7F">
              <w:rPr>
                <w:rFonts w:cs="Arial"/>
                <w:b/>
                <w:bCs/>
                <w:spacing w:val="-1"/>
                <w:sz w:val="18"/>
                <w:szCs w:val="18"/>
              </w:rPr>
              <w:t>je Semester</w:t>
            </w:r>
          </w:p>
        </w:tc>
      </w:tr>
      <w:tr w:rsidR="00FB6D7F" w:rsidRPr="00FB6D7F" w14:paraId="6B98C80F" w14:textId="77777777" w:rsidTr="00FB6D7F">
        <w:trPr>
          <w:trHeight w:hRule="exact" w:val="317"/>
        </w:trPr>
        <w:tc>
          <w:tcPr>
            <w:tcW w:w="3116" w:type="dxa"/>
            <w:vMerge/>
          </w:tcPr>
          <w:p w14:paraId="1EB2CB5A" w14:textId="77777777" w:rsidR="00FB6D7F" w:rsidRPr="00FB6D7F" w:rsidRDefault="00FB6D7F" w:rsidP="00FB6D7F">
            <w:pPr>
              <w:kinsoku w:val="0"/>
              <w:overflowPunct w:val="0"/>
              <w:autoSpaceDE w:val="0"/>
              <w:autoSpaceDN w:val="0"/>
              <w:adjustRightInd w:val="0"/>
              <w:spacing w:before="1" w:line="240" w:lineRule="auto"/>
              <w:ind w:left="102"/>
              <w:jc w:val="left"/>
              <w:rPr>
                <w:rFonts w:ascii="Times New Roman" w:hAnsi="Times New Roman"/>
                <w:sz w:val="18"/>
                <w:szCs w:val="18"/>
              </w:rPr>
            </w:pPr>
          </w:p>
        </w:tc>
        <w:tc>
          <w:tcPr>
            <w:tcW w:w="1288" w:type="dxa"/>
          </w:tcPr>
          <w:p w14:paraId="4C2FF58A" w14:textId="77777777" w:rsidR="00FB6D7F" w:rsidRPr="00FB6D7F" w:rsidRDefault="00FB6D7F" w:rsidP="00FB6D7F">
            <w:pPr>
              <w:kinsoku w:val="0"/>
              <w:overflowPunct w:val="0"/>
              <w:autoSpaceDE w:val="0"/>
              <w:autoSpaceDN w:val="0"/>
              <w:adjustRightInd w:val="0"/>
              <w:spacing w:before="0" w:line="240" w:lineRule="exact"/>
              <w:ind w:left="102"/>
              <w:jc w:val="left"/>
              <w:rPr>
                <w:rFonts w:ascii="Times New Roman" w:hAnsi="Times New Roman"/>
                <w:sz w:val="18"/>
                <w:szCs w:val="18"/>
              </w:rPr>
            </w:pPr>
            <w:r w:rsidRPr="00FB6D7F">
              <w:rPr>
                <w:rFonts w:cs="Arial"/>
                <w:b/>
                <w:bCs/>
                <w:sz w:val="18"/>
                <w:szCs w:val="18"/>
              </w:rPr>
              <w:t>1.</w:t>
            </w:r>
            <w:r w:rsidRPr="00FB6D7F">
              <w:rPr>
                <w:rFonts w:cs="Arial"/>
                <w:b/>
                <w:bCs/>
                <w:spacing w:val="-2"/>
                <w:sz w:val="18"/>
                <w:szCs w:val="18"/>
              </w:rPr>
              <w:t xml:space="preserve"> </w:t>
            </w:r>
            <w:r w:rsidRPr="00FB6D7F">
              <w:rPr>
                <w:rFonts w:cs="Arial"/>
                <w:b/>
                <w:bCs/>
                <w:sz w:val="18"/>
                <w:szCs w:val="18"/>
              </w:rPr>
              <w:t>Sem.</w:t>
            </w:r>
          </w:p>
        </w:tc>
        <w:tc>
          <w:tcPr>
            <w:tcW w:w="1288" w:type="dxa"/>
          </w:tcPr>
          <w:p w14:paraId="66EB91A9" w14:textId="77777777" w:rsidR="00FB6D7F" w:rsidRPr="00FB6D7F" w:rsidRDefault="00FB6D7F" w:rsidP="00FB6D7F">
            <w:pPr>
              <w:kinsoku w:val="0"/>
              <w:overflowPunct w:val="0"/>
              <w:autoSpaceDE w:val="0"/>
              <w:autoSpaceDN w:val="0"/>
              <w:adjustRightInd w:val="0"/>
              <w:spacing w:before="0" w:line="240" w:lineRule="exact"/>
              <w:ind w:left="102"/>
              <w:jc w:val="left"/>
              <w:rPr>
                <w:rFonts w:ascii="Times New Roman" w:hAnsi="Times New Roman"/>
                <w:sz w:val="18"/>
                <w:szCs w:val="18"/>
              </w:rPr>
            </w:pPr>
            <w:r w:rsidRPr="00FB6D7F">
              <w:rPr>
                <w:rFonts w:cs="Arial"/>
                <w:b/>
                <w:bCs/>
                <w:sz w:val="18"/>
                <w:szCs w:val="18"/>
              </w:rPr>
              <w:t>2.</w:t>
            </w:r>
            <w:r w:rsidRPr="00FB6D7F">
              <w:rPr>
                <w:rFonts w:cs="Arial"/>
                <w:b/>
                <w:bCs/>
                <w:spacing w:val="-2"/>
                <w:sz w:val="18"/>
                <w:szCs w:val="18"/>
              </w:rPr>
              <w:t xml:space="preserve"> </w:t>
            </w:r>
            <w:r w:rsidRPr="00FB6D7F">
              <w:rPr>
                <w:rFonts w:cs="Arial"/>
                <w:b/>
                <w:bCs/>
                <w:sz w:val="18"/>
                <w:szCs w:val="18"/>
              </w:rPr>
              <w:t>Sem.</w:t>
            </w:r>
          </w:p>
        </w:tc>
        <w:tc>
          <w:tcPr>
            <w:tcW w:w="1288" w:type="dxa"/>
          </w:tcPr>
          <w:p w14:paraId="763FFB20" w14:textId="77777777" w:rsidR="00FB6D7F" w:rsidRPr="00FB6D7F" w:rsidRDefault="00FB6D7F" w:rsidP="00FB6D7F">
            <w:pPr>
              <w:kinsoku w:val="0"/>
              <w:overflowPunct w:val="0"/>
              <w:autoSpaceDE w:val="0"/>
              <w:autoSpaceDN w:val="0"/>
              <w:adjustRightInd w:val="0"/>
              <w:spacing w:before="0" w:line="240" w:lineRule="exact"/>
              <w:ind w:left="104"/>
              <w:jc w:val="left"/>
              <w:rPr>
                <w:rFonts w:ascii="Times New Roman" w:hAnsi="Times New Roman"/>
                <w:sz w:val="18"/>
                <w:szCs w:val="18"/>
              </w:rPr>
            </w:pPr>
            <w:r w:rsidRPr="00FB6D7F">
              <w:rPr>
                <w:rFonts w:cs="Arial"/>
                <w:b/>
                <w:bCs/>
                <w:sz w:val="18"/>
                <w:szCs w:val="18"/>
              </w:rPr>
              <w:t>3.</w:t>
            </w:r>
            <w:r w:rsidRPr="00FB6D7F">
              <w:rPr>
                <w:rFonts w:cs="Arial"/>
                <w:b/>
                <w:bCs/>
                <w:spacing w:val="-2"/>
                <w:sz w:val="18"/>
                <w:szCs w:val="18"/>
              </w:rPr>
              <w:t xml:space="preserve"> </w:t>
            </w:r>
            <w:r w:rsidRPr="00FB6D7F">
              <w:rPr>
                <w:rFonts w:cs="Arial"/>
                <w:b/>
                <w:bCs/>
                <w:sz w:val="18"/>
                <w:szCs w:val="18"/>
              </w:rPr>
              <w:t>Sem.</w:t>
            </w:r>
          </w:p>
        </w:tc>
        <w:tc>
          <w:tcPr>
            <w:tcW w:w="1289" w:type="dxa"/>
          </w:tcPr>
          <w:p w14:paraId="0F91E8B3" w14:textId="77777777" w:rsidR="00FB6D7F" w:rsidRPr="00FB6D7F" w:rsidRDefault="00FB6D7F" w:rsidP="00FB6D7F">
            <w:pPr>
              <w:kinsoku w:val="0"/>
              <w:overflowPunct w:val="0"/>
              <w:autoSpaceDE w:val="0"/>
              <w:autoSpaceDN w:val="0"/>
              <w:adjustRightInd w:val="0"/>
              <w:spacing w:before="0" w:line="240" w:lineRule="exact"/>
              <w:ind w:left="102"/>
              <w:jc w:val="left"/>
              <w:rPr>
                <w:rFonts w:ascii="Times New Roman" w:hAnsi="Times New Roman"/>
                <w:sz w:val="18"/>
                <w:szCs w:val="18"/>
              </w:rPr>
            </w:pPr>
            <w:r w:rsidRPr="00FB6D7F">
              <w:rPr>
                <w:rFonts w:cs="Arial"/>
                <w:b/>
                <w:bCs/>
                <w:sz w:val="18"/>
                <w:szCs w:val="18"/>
              </w:rPr>
              <w:t>4.</w:t>
            </w:r>
            <w:r w:rsidRPr="00FB6D7F">
              <w:rPr>
                <w:rFonts w:cs="Arial"/>
                <w:b/>
                <w:bCs/>
                <w:spacing w:val="-2"/>
                <w:sz w:val="18"/>
                <w:szCs w:val="18"/>
              </w:rPr>
              <w:t xml:space="preserve"> </w:t>
            </w:r>
            <w:r w:rsidRPr="00FB6D7F">
              <w:rPr>
                <w:rFonts w:cs="Arial"/>
                <w:b/>
                <w:bCs/>
                <w:sz w:val="18"/>
                <w:szCs w:val="18"/>
              </w:rPr>
              <w:t>Sem.</w:t>
            </w:r>
          </w:p>
        </w:tc>
      </w:tr>
      <w:tr w:rsidR="00FB6D7F" w:rsidRPr="00FB6D7F" w14:paraId="1197556F" w14:textId="77777777" w:rsidTr="00FB6D7F">
        <w:trPr>
          <w:trHeight w:hRule="exact" w:val="290"/>
        </w:trPr>
        <w:tc>
          <w:tcPr>
            <w:tcW w:w="3116" w:type="dxa"/>
          </w:tcPr>
          <w:p w14:paraId="5F3FC7A8" w14:textId="77777777" w:rsidR="00FB6D7F" w:rsidRPr="00FB6D7F" w:rsidRDefault="00FB6D7F" w:rsidP="00FB6D7F">
            <w:pPr>
              <w:kinsoku w:val="0"/>
              <w:overflowPunct w:val="0"/>
              <w:autoSpaceDE w:val="0"/>
              <w:autoSpaceDN w:val="0"/>
              <w:adjustRightInd w:val="0"/>
              <w:spacing w:before="1" w:line="240" w:lineRule="auto"/>
              <w:ind w:left="104"/>
              <w:jc w:val="left"/>
              <w:rPr>
                <w:rFonts w:ascii="Times New Roman" w:hAnsi="Times New Roman"/>
                <w:sz w:val="18"/>
                <w:szCs w:val="18"/>
              </w:rPr>
            </w:pPr>
            <w:r w:rsidRPr="00FB6D7F">
              <w:rPr>
                <w:rFonts w:cs="Arial"/>
                <w:spacing w:val="-1"/>
                <w:sz w:val="18"/>
                <w:szCs w:val="18"/>
              </w:rPr>
              <w:lastRenderedPageBreak/>
              <w:t>Präsentation</w:t>
            </w:r>
          </w:p>
        </w:tc>
        <w:tc>
          <w:tcPr>
            <w:tcW w:w="1288" w:type="dxa"/>
            <w:vAlign w:val="center"/>
          </w:tcPr>
          <w:p w14:paraId="2CDB5A90" w14:textId="77777777" w:rsidR="00FB6D7F" w:rsidRPr="00FB6D7F" w:rsidRDefault="00FB6D7F" w:rsidP="00FB6D7F">
            <w:pPr>
              <w:autoSpaceDE w:val="0"/>
              <w:autoSpaceDN w:val="0"/>
              <w:adjustRightInd w:val="0"/>
              <w:spacing w:before="0" w:line="240" w:lineRule="auto"/>
              <w:jc w:val="center"/>
              <w:rPr>
                <w:rFonts w:ascii="Times New Roman" w:hAnsi="Times New Roman"/>
                <w:sz w:val="18"/>
                <w:szCs w:val="18"/>
              </w:rPr>
            </w:pPr>
          </w:p>
        </w:tc>
        <w:tc>
          <w:tcPr>
            <w:tcW w:w="1288" w:type="dxa"/>
            <w:vAlign w:val="center"/>
          </w:tcPr>
          <w:p w14:paraId="762E1AAE" w14:textId="77777777" w:rsidR="00FB6D7F" w:rsidRPr="00FB6D7F" w:rsidRDefault="00FB6D7F" w:rsidP="00FB6D7F">
            <w:pPr>
              <w:kinsoku w:val="0"/>
              <w:overflowPunct w:val="0"/>
              <w:autoSpaceDE w:val="0"/>
              <w:autoSpaceDN w:val="0"/>
              <w:adjustRightInd w:val="0"/>
              <w:spacing w:before="1" w:line="240" w:lineRule="auto"/>
              <w:ind w:left="102"/>
              <w:jc w:val="center"/>
              <w:rPr>
                <w:rFonts w:ascii="Times New Roman" w:hAnsi="Times New Roman"/>
                <w:sz w:val="18"/>
                <w:szCs w:val="18"/>
              </w:rPr>
            </w:pPr>
            <w:r w:rsidRPr="00FB6D7F">
              <w:rPr>
                <w:rFonts w:cs="Arial"/>
                <w:sz w:val="18"/>
                <w:szCs w:val="18"/>
              </w:rPr>
              <w:t>2</w:t>
            </w:r>
          </w:p>
        </w:tc>
        <w:tc>
          <w:tcPr>
            <w:tcW w:w="1288" w:type="dxa"/>
            <w:vAlign w:val="center"/>
          </w:tcPr>
          <w:p w14:paraId="61C27347" w14:textId="77777777" w:rsidR="00FB6D7F" w:rsidRPr="00FB6D7F" w:rsidRDefault="00FB6D7F" w:rsidP="00FB6D7F">
            <w:pPr>
              <w:autoSpaceDE w:val="0"/>
              <w:autoSpaceDN w:val="0"/>
              <w:adjustRightInd w:val="0"/>
              <w:spacing w:before="0" w:line="240" w:lineRule="auto"/>
              <w:jc w:val="center"/>
              <w:rPr>
                <w:rFonts w:ascii="Times New Roman" w:hAnsi="Times New Roman"/>
                <w:sz w:val="18"/>
                <w:szCs w:val="18"/>
              </w:rPr>
            </w:pPr>
          </w:p>
        </w:tc>
        <w:tc>
          <w:tcPr>
            <w:tcW w:w="1289" w:type="dxa"/>
            <w:vAlign w:val="center"/>
          </w:tcPr>
          <w:p w14:paraId="7BCD648C" w14:textId="77777777" w:rsidR="00FB6D7F" w:rsidRPr="00FB6D7F" w:rsidRDefault="00FB6D7F" w:rsidP="00FB6D7F">
            <w:pPr>
              <w:autoSpaceDE w:val="0"/>
              <w:autoSpaceDN w:val="0"/>
              <w:adjustRightInd w:val="0"/>
              <w:spacing w:before="0" w:line="240" w:lineRule="auto"/>
              <w:jc w:val="center"/>
              <w:rPr>
                <w:rFonts w:ascii="Times New Roman" w:hAnsi="Times New Roman"/>
                <w:sz w:val="18"/>
                <w:szCs w:val="18"/>
              </w:rPr>
            </w:pPr>
          </w:p>
        </w:tc>
      </w:tr>
      <w:tr w:rsidR="00FB6D7F" w:rsidRPr="00FB6D7F" w14:paraId="0BA32E6C" w14:textId="77777777" w:rsidTr="00FB6D7F">
        <w:trPr>
          <w:trHeight w:hRule="exact" w:val="290"/>
        </w:trPr>
        <w:tc>
          <w:tcPr>
            <w:tcW w:w="3116" w:type="dxa"/>
          </w:tcPr>
          <w:p w14:paraId="75B53F7D" w14:textId="77777777" w:rsidR="00FB6D7F" w:rsidRPr="00FB6D7F" w:rsidRDefault="00FB6D7F" w:rsidP="00FB6D7F">
            <w:pPr>
              <w:kinsoku w:val="0"/>
              <w:overflowPunct w:val="0"/>
              <w:autoSpaceDE w:val="0"/>
              <w:autoSpaceDN w:val="0"/>
              <w:adjustRightInd w:val="0"/>
              <w:spacing w:before="0" w:line="240" w:lineRule="exact"/>
              <w:ind w:left="104"/>
              <w:jc w:val="left"/>
              <w:rPr>
                <w:rFonts w:ascii="Times New Roman" w:hAnsi="Times New Roman"/>
                <w:sz w:val="18"/>
                <w:szCs w:val="18"/>
              </w:rPr>
            </w:pPr>
            <w:r w:rsidRPr="00FB6D7F">
              <w:rPr>
                <w:rFonts w:cs="Arial"/>
                <w:spacing w:val="-1"/>
                <w:sz w:val="18"/>
                <w:szCs w:val="18"/>
              </w:rPr>
              <w:t>Referat</w:t>
            </w:r>
          </w:p>
        </w:tc>
        <w:tc>
          <w:tcPr>
            <w:tcW w:w="1288" w:type="dxa"/>
            <w:vAlign w:val="center"/>
          </w:tcPr>
          <w:p w14:paraId="45519925" w14:textId="77777777" w:rsidR="00FB6D7F" w:rsidRPr="00FB6D7F" w:rsidRDefault="00FB6D7F" w:rsidP="00FB6D7F">
            <w:pPr>
              <w:autoSpaceDE w:val="0"/>
              <w:autoSpaceDN w:val="0"/>
              <w:adjustRightInd w:val="0"/>
              <w:spacing w:before="0" w:line="240" w:lineRule="auto"/>
              <w:jc w:val="center"/>
              <w:rPr>
                <w:rFonts w:ascii="Times New Roman" w:hAnsi="Times New Roman"/>
                <w:sz w:val="18"/>
                <w:szCs w:val="18"/>
              </w:rPr>
            </w:pPr>
          </w:p>
        </w:tc>
        <w:tc>
          <w:tcPr>
            <w:tcW w:w="1288" w:type="dxa"/>
            <w:vAlign w:val="center"/>
          </w:tcPr>
          <w:p w14:paraId="666CE84C" w14:textId="77777777" w:rsidR="00FB6D7F" w:rsidRPr="00FB6D7F" w:rsidRDefault="00FB6D7F" w:rsidP="00FB6D7F">
            <w:pPr>
              <w:autoSpaceDE w:val="0"/>
              <w:autoSpaceDN w:val="0"/>
              <w:adjustRightInd w:val="0"/>
              <w:spacing w:before="0" w:line="240" w:lineRule="auto"/>
              <w:jc w:val="center"/>
              <w:rPr>
                <w:rFonts w:ascii="Times New Roman" w:hAnsi="Times New Roman"/>
                <w:sz w:val="18"/>
                <w:szCs w:val="18"/>
              </w:rPr>
            </w:pPr>
          </w:p>
        </w:tc>
        <w:tc>
          <w:tcPr>
            <w:tcW w:w="1288" w:type="dxa"/>
            <w:vAlign w:val="center"/>
          </w:tcPr>
          <w:p w14:paraId="7B188CDD" w14:textId="77777777" w:rsidR="00FB6D7F" w:rsidRPr="00FB6D7F" w:rsidRDefault="00FB6D7F" w:rsidP="00FB6D7F">
            <w:pPr>
              <w:kinsoku w:val="0"/>
              <w:overflowPunct w:val="0"/>
              <w:autoSpaceDE w:val="0"/>
              <w:autoSpaceDN w:val="0"/>
              <w:adjustRightInd w:val="0"/>
              <w:spacing w:before="0" w:line="240" w:lineRule="exact"/>
              <w:ind w:left="104"/>
              <w:jc w:val="center"/>
              <w:rPr>
                <w:rFonts w:ascii="Times New Roman" w:hAnsi="Times New Roman"/>
                <w:sz w:val="18"/>
                <w:szCs w:val="18"/>
              </w:rPr>
            </w:pPr>
            <w:r w:rsidRPr="00FB6D7F">
              <w:rPr>
                <w:rFonts w:cs="Arial"/>
                <w:sz w:val="18"/>
                <w:szCs w:val="18"/>
              </w:rPr>
              <w:t>1</w:t>
            </w:r>
          </w:p>
        </w:tc>
        <w:tc>
          <w:tcPr>
            <w:tcW w:w="1289" w:type="dxa"/>
            <w:vAlign w:val="center"/>
          </w:tcPr>
          <w:p w14:paraId="77E0F1A5" w14:textId="77777777" w:rsidR="00FB6D7F" w:rsidRPr="00FB6D7F" w:rsidRDefault="00FB6D7F" w:rsidP="00FB6D7F">
            <w:pPr>
              <w:autoSpaceDE w:val="0"/>
              <w:autoSpaceDN w:val="0"/>
              <w:adjustRightInd w:val="0"/>
              <w:spacing w:before="0" w:line="240" w:lineRule="auto"/>
              <w:jc w:val="center"/>
              <w:rPr>
                <w:rFonts w:ascii="Times New Roman" w:hAnsi="Times New Roman"/>
                <w:sz w:val="18"/>
                <w:szCs w:val="18"/>
              </w:rPr>
            </w:pPr>
          </w:p>
        </w:tc>
      </w:tr>
      <w:tr w:rsidR="00FB6D7F" w:rsidRPr="00FB6D7F" w14:paraId="0A729ACC" w14:textId="77777777" w:rsidTr="00FB6D7F">
        <w:trPr>
          <w:trHeight w:hRule="exact" w:val="566"/>
        </w:trPr>
        <w:tc>
          <w:tcPr>
            <w:tcW w:w="3116" w:type="dxa"/>
          </w:tcPr>
          <w:p w14:paraId="0E3892DE" w14:textId="77777777" w:rsidR="00FB6D7F" w:rsidRPr="00FB6D7F" w:rsidRDefault="00FB6D7F" w:rsidP="00FB6D7F">
            <w:pPr>
              <w:kinsoku w:val="0"/>
              <w:overflowPunct w:val="0"/>
              <w:autoSpaceDE w:val="0"/>
              <w:autoSpaceDN w:val="0"/>
              <w:adjustRightInd w:val="0"/>
              <w:spacing w:before="0" w:line="240" w:lineRule="exact"/>
              <w:ind w:left="104"/>
              <w:jc w:val="left"/>
              <w:rPr>
                <w:rFonts w:ascii="Times New Roman" w:hAnsi="Times New Roman"/>
                <w:sz w:val="18"/>
                <w:szCs w:val="18"/>
              </w:rPr>
            </w:pPr>
            <w:r w:rsidRPr="00FB6D7F">
              <w:rPr>
                <w:rFonts w:cs="Arial"/>
                <w:spacing w:val="-1"/>
                <w:sz w:val="18"/>
                <w:szCs w:val="18"/>
              </w:rPr>
              <w:t>Mündliches</w:t>
            </w:r>
            <w:r w:rsidRPr="00FB6D7F">
              <w:rPr>
                <w:rFonts w:cs="Arial"/>
                <w:spacing w:val="-3"/>
                <w:sz w:val="18"/>
                <w:szCs w:val="18"/>
              </w:rPr>
              <w:t xml:space="preserve"> </w:t>
            </w:r>
            <w:r w:rsidRPr="00FB6D7F">
              <w:rPr>
                <w:rFonts w:cs="Arial"/>
                <w:spacing w:val="-1"/>
                <w:sz w:val="18"/>
                <w:szCs w:val="18"/>
              </w:rPr>
              <w:t>Prüfungsgespräch</w:t>
            </w:r>
          </w:p>
        </w:tc>
        <w:tc>
          <w:tcPr>
            <w:tcW w:w="1288" w:type="dxa"/>
            <w:vAlign w:val="center"/>
          </w:tcPr>
          <w:p w14:paraId="2B6719E1" w14:textId="77777777" w:rsidR="00FB6D7F" w:rsidRPr="00FB6D7F" w:rsidRDefault="00FB6D7F" w:rsidP="00FB6D7F">
            <w:pPr>
              <w:autoSpaceDE w:val="0"/>
              <w:autoSpaceDN w:val="0"/>
              <w:adjustRightInd w:val="0"/>
              <w:spacing w:before="0" w:line="240" w:lineRule="auto"/>
              <w:jc w:val="center"/>
              <w:rPr>
                <w:rFonts w:ascii="Times New Roman" w:hAnsi="Times New Roman"/>
                <w:sz w:val="18"/>
                <w:szCs w:val="18"/>
              </w:rPr>
            </w:pPr>
          </w:p>
        </w:tc>
        <w:tc>
          <w:tcPr>
            <w:tcW w:w="1288" w:type="dxa"/>
            <w:vAlign w:val="center"/>
          </w:tcPr>
          <w:p w14:paraId="2D588E4D" w14:textId="20106355" w:rsidR="00FB6D7F" w:rsidRPr="00FB6D7F" w:rsidRDefault="00FB6D7F" w:rsidP="00FB6D7F">
            <w:pPr>
              <w:kinsoku w:val="0"/>
              <w:overflowPunct w:val="0"/>
              <w:autoSpaceDE w:val="0"/>
              <w:autoSpaceDN w:val="0"/>
              <w:adjustRightInd w:val="0"/>
              <w:spacing w:before="0" w:line="272" w:lineRule="auto"/>
              <w:ind w:left="102" w:right="97"/>
              <w:jc w:val="center"/>
              <w:rPr>
                <w:rFonts w:ascii="Times New Roman" w:hAnsi="Times New Roman"/>
                <w:sz w:val="18"/>
                <w:szCs w:val="18"/>
              </w:rPr>
            </w:pPr>
            <w:r w:rsidRPr="00FB6D7F">
              <w:rPr>
                <w:rFonts w:cs="Arial"/>
                <w:sz w:val="18"/>
                <w:szCs w:val="18"/>
              </w:rPr>
              <w:t xml:space="preserve">1 oder </w:t>
            </w:r>
            <w:r w:rsidRPr="00FB6D7F">
              <w:rPr>
                <w:rFonts w:cs="Arial"/>
                <w:spacing w:val="-1"/>
                <w:sz w:val="18"/>
                <w:szCs w:val="18"/>
              </w:rPr>
              <w:t>STA*</w:t>
            </w:r>
            <w:r w:rsidRPr="00FB6D7F">
              <w:rPr>
                <w:rFonts w:cs="Arial"/>
                <w:spacing w:val="-1"/>
                <w:position w:val="7"/>
                <w:sz w:val="16"/>
                <w:szCs w:val="16"/>
              </w:rPr>
              <w:t>1</w:t>
            </w:r>
          </w:p>
        </w:tc>
        <w:tc>
          <w:tcPr>
            <w:tcW w:w="1288" w:type="dxa"/>
            <w:vAlign w:val="center"/>
          </w:tcPr>
          <w:p w14:paraId="3957F757" w14:textId="40D3F986" w:rsidR="00FB6D7F" w:rsidRPr="00FB6D7F" w:rsidRDefault="00FB6D7F" w:rsidP="00FB6D7F">
            <w:pPr>
              <w:kinsoku w:val="0"/>
              <w:overflowPunct w:val="0"/>
              <w:autoSpaceDE w:val="0"/>
              <w:autoSpaceDN w:val="0"/>
              <w:adjustRightInd w:val="0"/>
              <w:spacing w:before="0" w:line="272" w:lineRule="auto"/>
              <w:ind w:left="104" w:right="95"/>
              <w:jc w:val="center"/>
              <w:rPr>
                <w:rFonts w:ascii="Times New Roman" w:hAnsi="Times New Roman"/>
                <w:sz w:val="18"/>
                <w:szCs w:val="18"/>
              </w:rPr>
            </w:pPr>
            <w:r w:rsidRPr="00FB6D7F">
              <w:rPr>
                <w:rFonts w:cs="Arial"/>
                <w:sz w:val="18"/>
                <w:szCs w:val="18"/>
              </w:rPr>
              <w:t xml:space="preserve">1 oder </w:t>
            </w:r>
            <w:r w:rsidRPr="00FB6D7F">
              <w:rPr>
                <w:rFonts w:cs="Arial"/>
                <w:spacing w:val="-1"/>
                <w:sz w:val="18"/>
                <w:szCs w:val="18"/>
              </w:rPr>
              <w:t>STA*</w:t>
            </w:r>
            <w:r w:rsidRPr="00FB6D7F">
              <w:rPr>
                <w:rFonts w:cs="Arial"/>
                <w:spacing w:val="-1"/>
                <w:position w:val="7"/>
                <w:sz w:val="16"/>
                <w:szCs w:val="16"/>
              </w:rPr>
              <w:t>2</w:t>
            </w:r>
          </w:p>
        </w:tc>
        <w:tc>
          <w:tcPr>
            <w:tcW w:w="1289" w:type="dxa"/>
            <w:vAlign w:val="center"/>
          </w:tcPr>
          <w:p w14:paraId="7EB89680" w14:textId="77777777" w:rsidR="00FB6D7F" w:rsidRPr="00FB6D7F" w:rsidRDefault="00FB6D7F" w:rsidP="00FB6D7F">
            <w:pPr>
              <w:autoSpaceDE w:val="0"/>
              <w:autoSpaceDN w:val="0"/>
              <w:adjustRightInd w:val="0"/>
              <w:spacing w:before="0" w:line="240" w:lineRule="auto"/>
              <w:jc w:val="center"/>
              <w:rPr>
                <w:rFonts w:ascii="Times New Roman" w:hAnsi="Times New Roman"/>
                <w:sz w:val="18"/>
                <w:szCs w:val="18"/>
              </w:rPr>
            </w:pPr>
          </w:p>
        </w:tc>
      </w:tr>
      <w:tr w:rsidR="00FB6D7F" w:rsidRPr="00FB6D7F" w14:paraId="1E7CC0FC" w14:textId="77777777" w:rsidTr="00FB6D7F">
        <w:trPr>
          <w:trHeight w:hRule="exact" w:val="300"/>
        </w:trPr>
        <w:tc>
          <w:tcPr>
            <w:tcW w:w="3116" w:type="dxa"/>
          </w:tcPr>
          <w:p w14:paraId="69A945F8" w14:textId="77777777" w:rsidR="00FB6D7F" w:rsidRPr="00FB6D7F" w:rsidRDefault="00FB6D7F" w:rsidP="00FB6D7F">
            <w:pPr>
              <w:kinsoku w:val="0"/>
              <w:overflowPunct w:val="0"/>
              <w:autoSpaceDE w:val="0"/>
              <w:autoSpaceDN w:val="0"/>
              <w:adjustRightInd w:val="0"/>
              <w:spacing w:before="0" w:line="240" w:lineRule="exact"/>
              <w:ind w:left="104"/>
              <w:jc w:val="left"/>
              <w:rPr>
                <w:rFonts w:ascii="Times New Roman" w:hAnsi="Times New Roman"/>
                <w:sz w:val="18"/>
                <w:szCs w:val="18"/>
              </w:rPr>
            </w:pPr>
            <w:r w:rsidRPr="00FB6D7F">
              <w:rPr>
                <w:rFonts w:cs="Arial"/>
                <w:spacing w:val="-1"/>
                <w:sz w:val="18"/>
                <w:szCs w:val="18"/>
              </w:rPr>
              <w:t>Studienarbeit</w:t>
            </w:r>
          </w:p>
        </w:tc>
        <w:tc>
          <w:tcPr>
            <w:tcW w:w="1288" w:type="dxa"/>
            <w:vAlign w:val="center"/>
          </w:tcPr>
          <w:p w14:paraId="1DEE2E56" w14:textId="77777777" w:rsidR="00FB6D7F" w:rsidRPr="00FB6D7F" w:rsidRDefault="00FB6D7F" w:rsidP="00FB6D7F">
            <w:pPr>
              <w:autoSpaceDE w:val="0"/>
              <w:autoSpaceDN w:val="0"/>
              <w:adjustRightInd w:val="0"/>
              <w:spacing w:before="0" w:line="240" w:lineRule="auto"/>
              <w:jc w:val="center"/>
              <w:rPr>
                <w:rFonts w:ascii="Times New Roman" w:hAnsi="Times New Roman"/>
                <w:sz w:val="18"/>
                <w:szCs w:val="18"/>
              </w:rPr>
            </w:pPr>
          </w:p>
        </w:tc>
        <w:tc>
          <w:tcPr>
            <w:tcW w:w="1288" w:type="dxa"/>
            <w:vAlign w:val="center"/>
          </w:tcPr>
          <w:p w14:paraId="55745AA7" w14:textId="77777777" w:rsidR="00FB6D7F" w:rsidRPr="00FB6D7F" w:rsidRDefault="00FB6D7F" w:rsidP="00FB6D7F">
            <w:pPr>
              <w:autoSpaceDE w:val="0"/>
              <w:autoSpaceDN w:val="0"/>
              <w:adjustRightInd w:val="0"/>
              <w:spacing w:before="0" w:line="240" w:lineRule="auto"/>
              <w:jc w:val="center"/>
              <w:rPr>
                <w:rFonts w:ascii="Times New Roman" w:hAnsi="Times New Roman"/>
                <w:sz w:val="18"/>
                <w:szCs w:val="18"/>
              </w:rPr>
            </w:pPr>
          </w:p>
        </w:tc>
        <w:tc>
          <w:tcPr>
            <w:tcW w:w="1288" w:type="dxa"/>
            <w:vAlign w:val="center"/>
          </w:tcPr>
          <w:p w14:paraId="6BC6A875" w14:textId="77777777" w:rsidR="00FB6D7F" w:rsidRPr="00FB6D7F" w:rsidRDefault="00FB6D7F" w:rsidP="00FB6D7F">
            <w:pPr>
              <w:kinsoku w:val="0"/>
              <w:overflowPunct w:val="0"/>
              <w:autoSpaceDE w:val="0"/>
              <w:autoSpaceDN w:val="0"/>
              <w:adjustRightInd w:val="0"/>
              <w:spacing w:before="0" w:line="240" w:lineRule="exact"/>
              <w:ind w:left="104"/>
              <w:jc w:val="center"/>
              <w:rPr>
                <w:rFonts w:ascii="Times New Roman" w:hAnsi="Times New Roman"/>
                <w:sz w:val="18"/>
                <w:szCs w:val="18"/>
              </w:rPr>
            </w:pPr>
            <w:r w:rsidRPr="00FB6D7F">
              <w:rPr>
                <w:rFonts w:cs="Arial"/>
                <w:sz w:val="18"/>
                <w:szCs w:val="18"/>
              </w:rPr>
              <w:t>1</w:t>
            </w:r>
          </w:p>
        </w:tc>
        <w:tc>
          <w:tcPr>
            <w:tcW w:w="1289" w:type="dxa"/>
            <w:vAlign w:val="center"/>
          </w:tcPr>
          <w:p w14:paraId="3F399102" w14:textId="77777777" w:rsidR="00FB6D7F" w:rsidRPr="00FB6D7F" w:rsidRDefault="00FB6D7F" w:rsidP="00FB6D7F">
            <w:pPr>
              <w:autoSpaceDE w:val="0"/>
              <w:autoSpaceDN w:val="0"/>
              <w:adjustRightInd w:val="0"/>
              <w:spacing w:before="0" w:line="240" w:lineRule="auto"/>
              <w:jc w:val="center"/>
              <w:rPr>
                <w:rFonts w:ascii="Times New Roman" w:hAnsi="Times New Roman"/>
                <w:sz w:val="18"/>
                <w:szCs w:val="18"/>
              </w:rPr>
            </w:pPr>
          </w:p>
        </w:tc>
      </w:tr>
      <w:tr w:rsidR="00FB6D7F" w:rsidRPr="00FB6D7F" w14:paraId="4744136D" w14:textId="77777777" w:rsidTr="00FB6D7F">
        <w:trPr>
          <w:trHeight w:hRule="exact" w:val="290"/>
        </w:trPr>
        <w:tc>
          <w:tcPr>
            <w:tcW w:w="3116" w:type="dxa"/>
          </w:tcPr>
          <w:p w14:paraId="180E2C44" w14:textId="77777777" w:rsidR="00FB6D7F" w:rsidRPr="00FB6D7F" w:rsidRDefault="00FB6D7F" w:rsidP="00FB6D7F">
            <w:pPr>
              <w:kinsoku w:val="0"/>
              <w:overflowPunct w:val="0"/>
              <w:autoSpaceDE w:val="0"/>
              <w:autoSpaceDN w:val="0"/>
              <w:adjustRightInd w:val="0"/>
              <w:spacing w:before="0" w:line="240" w:lineRule="exact"/>
              <w:ind w:left="104"/>
              <w:jc w:val="left"/>
              <w:rPr>
                <w:rFonts w:ascii="Times New Roman" w:hAnsi="Times New Roman"/>
                <w:sz w:val="18"/>
                <w:szCs w:val="18"/>
              </w:rPr>
            </w:pPr>
            <w:r w:rsidRPr="00FB6D7F">
              <w:rPr>
                <w:rFonts w:cs="Arial"/>
                <w:spacing w:val="-1"/>
                <w:sz w:val="18"/>
                <w:szCs w:val="18"/>
              </w:rPr>
              <w:t>Klausur</w:t>
            </w:r>
          </w:p>
        </w:tc>
        <w:tc>
          <w:tcPr>
            <w:tcW w:w="1288" w:type="dxa"/>
            <w:vAlign w:val="center"/>
          </w:tcPr>
          <w:p w14:paraId="72C4DCF4" w14:textId="77777777" w:rsidR="00FB6D7F" w:rsidRPr="00FB6D7F" w:rsidRDefault="00FB6D7F" w:rsidP="00FB6D7F">
            <w:pPr>
              <w:kinsoku w:val="0"/>
              <w:overflowPunct w:val="0"/>
              <w:autoSpaceDE w:val="0"/>
              <w:autoSpaceDN w:val="0"/>
              <w:adjustRightInd w:val="0"/>
              <w:spacing w:before="0" w:line="240" w:lineRule="exact"/>
              <w:ind w:left="102"/>
              <w:jc w:val="center"/>
              <w:rPr>
                <w:rFonts w:ascii="Times New Roman" w:hAnsi="Times New Roman"/>
                <w:sz w:val="18"/>
                <w:szCs w:val="18"/>
              </w:rPr>
            </w:pPr>
            <w:r w:rsidRPr="00FB6D7F">
              <w:rPr>
                <w:rFonts w:cs="Arial"/>
                <w:sz w:val="18"/>
                <w:szCs w:val="18"/>
              </w:rPr>
              <w:t>5</w:t>
            </w:r>
          </w:p>
        </w:tc>
        <w:tc>
          <w:tcPr>
            <w:tcW w:w="1288" w:type="dxa"/>
            <w:vAlign w:val="center"/>
          </w:tcPr>
          <w:p w14:paraId="055D7BF3" w14:textId="77777777" w:rsidR="00FB6D7F" w:rsidRPr="00FB6D7F" w:rsidRDefault="00FB6D7F" w:rsidP="00FB6D7F">
            <w:pPr>
              <w:kinsoku w:val="0"/>
              <w:overflowPunct w:val="0"/>
              <w:autoSpaceDE w:val="0"/>
              <w:autoSpaceDN w:val="0"/>
              <w:adjustRightInd w:val="0"/>
              <w:spacing w:before="0" w:line="240" w:lineRule="exact"/>
              <w:ind w:left="102"/>
              <w:jc w:val="center"/>
              <w:rPr>
                <w:rFonts w:ascii="Times New Roman" w:hAnsi="Times New Roman"/>
                <w:sz w:val="18"/>
                <w:szCs w:val="18"/>
              </w:rPr>
            </w:pPr>
            <w:r w:rsidRPr="00FB6D7F">
              <w:rPr>
                <w:rFonts w:cs="Arial"/>
                <w:sz w:val="18"/>
                <w:szCs w:val="18"/>
              </w:rPr>
              <w:t>3</w:t>
            </w:r>
          </w:p>
        </w:tc>
        <w:tc>
          <w:tcPr>
            <w:tcW w:w="1288" w:type="dxa"/>
            <w:vAlign w:val="center"/>
          </w:tcPr>
          <w:p w14:paraId="6E68BDC4" w14:textId="77777777" w:rsidR="00FB6D7F" w:rsidRPr="00FB6D7F" w:rsidRDefault="00FB6D7F" w:rsidP="00FB6D7F">
            <w:pPr>
              <w:kinsoku w:val="0"/>
              <w:overflowPunct w:val="0"/>
              <w:autoSpaceDE w:val="0"/>
              <w:autoSpaceDN w:val="0"/>
              <w:adjustRightInd w:val="0"/>
              <w:spacing w:before="0" w:line="240" w:lineRule="exact"/>
              <w:ind w:left="104"/>
              <w:jc w:val="center"/>
              <w:rPr>
                <w:rFonts w:ascii="Times New Roman" w:hAnsi="Times New Roman"/>
                <w:sz w:val="18"/>
                <w:szCs w:val="18"/>
              </w:rPr>
            </w:pPr>
            <w:r w:rsidRPr="00FB6D7F">
              <w:rPr>
                <w:rFonts w:cs="Arial"/>
                <w:sz w:val="18"/>
                <w:szCs w:val="18"/>
              </w:rPr>
              <w:t>1</w:t>
            </w:r>
          </w:p>
        </w:tc>
        <w:tc>
          <w:tcPr>
            <w:tcW w:w="1289" w:type="dxa"/>
            <w:vAlign w:val="center"/>
          </w:tcPr>
          <w:p w14:paraId="4344F3A7" w14:textId="77777777" w:rsidR="00FB6D7F" w:rsidRPr="00FB6D7F" w:rsidRDefault="00FB6D7F" w:rsidP="00FB6D7F">
            <w:pPr>
              <w:autoSpaceDE w:val="0"/>
              <w:autoSpaceDN w:val="0"/>
              <w:adjustRightInd w:val="0"/>
              <w:spacing w:before="0" w:line="240" w:lineRule="auto"/>
              <w:jc w:val="center"/>
              <w:rPr>
                <w:rFonts w:ascii="Times New Roman" w:hAnsi="Times New Roman"/>
                <w:sz w:val="18"/>
                <w:szCs w:val="18"/>
              </w:rPr>
            </w:pPr>
          </w:p>
        </w:tc>
      </w:tr>
      <w:tr w:rsidR="00FB6D7F" w:rsidRPr="00FB6D7F" w14:paraId="46655A8C" w14:textId="77777777" w:rsidTr="00FB6D7F">
        <w:trPr>
          <w:trHeight w:hRule="exact" w:val="290"/>
        </w:trPr>
        <w:tc>
          <w:tcPr>
            <w:tcW w:w="3116" w:type="dxa"/>
          </w:tcPr>
          <w:p w14:paraId="19AA1A8F" w14:textId="77777777" w:rsidR="00FB6D7F" w:rsidRPr="00FB6D7F" w:rsidRDefault="00FB6D7F" w:rsidP="00FB6D7F">
            <w:pPr>
              <w:kinsoku w:val="0"/>
              <w:overflowPunct w:val="0"/>
              <w:autoSpaceDE w:val="0"/>
              <w:autoSpaceDN w:val="0"/>
              <w:adjustRightInd w:val="0"/>
              <w:spacing w:before="0" w:line="240" w:lineRule="exact"/>
              <w:ind w:left="104"/>
              <w:jc w:val="left"/>
              <w:rPr>
                <w:rFonts w:ascii="Times New Roman" w:hAnsi="Times New Roman"/>
                <w:sz w:val="18"/>
                <w:szCs w:val="18"/>
              </w:rPr>
            </w:pPr>
            <w:r w:rsidRPr="00FB6D7F">
              <w:rPr>
                <w:rFonts w:cs="Arial"/>
                <w:spacing w:val="-1"/>
                <w:sz w:val="18"/>
                <w:szCs w:val="18"/>
              </w:rPr>
              <w:t>Bericht</w:t>
            </w:r>
          </w:p>
        </w:tc>
        <w:tc>
          <w:tcPr>
            <w:tcW w:w="1288" w:type="dxa"/>
            <w:vAlign w:val="center"/>
          </w:tcPr>
          <w:p w14:paraId="2DC9B13F" w14:textId="77777777" w:rsidR="00FB6D7F" w:rsidRPr="00FB6D7F" w:rsidRDefault="00FB6D7F" w:rsidP="00FB6D7F">
            <w:pPr>
              <w:autoSpaceDE w:val="0"/>
              <w:autoSpaceDN w:val="0"/>
              <w:adjustRightInd w:val="0"/>
              <w:spacing w:before="0" w:line="240" w:lineRule="auto"/>
              <w:jc w:val="center"/>
              <w:rPr>
                <w:rFonts w:ascii="Times New Roman" w:hAnsi="Times New Roman"/>
                <w:sz w:val="18"/>
                <w:szCs w:val="18"/>
              </w:rPr>
            </w:pPr>
          </w:p>
        </w:tc>
        <w:tc>
          <w:tcPr>
            <w:tcW w:w="1288" w:type="dxa"/>
            <w:vAlign w:val="center"/>
          </w:tcPr>
          <w:p w14:paraId="2DA19ACD" w14:textId="77777777" w:rsidR="00FB6D7F" w:rsidRPr="00FB6D7F" w:rsidRDefault="00FB6D7F" w:rsidP="00FB6D7F">
            <w:pPr>
              <w:autoSpaceDE w:val="0"/>
              <w:autoSpaceDN w:val="0"/>
              <w:adjustRightInd w:val="0"/>
              <w:spacing w:before="0" w:line="240" w:lineRule="auto"/>
              <w:jc w:val="center"/>
              <w:rPr>
                <w:rFonts w:ascii="Times New Roman" w:hAnsi="Times New Roman"/>
                <w:sz w:val="18"/>
                <w:szCs w:val="18"/>
              </w:rPr>
            </w:pPr>
          </w:p>
        </w:tc>
        <w:tc>
          <w:tcPr>
            <w:tcW w:w="1288" w:type="dxa"/>
            <w:vAlign w:val="center"/>
          </w:tcPr>
          <w:p w14:paraId="2BBC66F1" w14:textId="77777777" w:rsidR="00FB6D7F" w:rsidRPr="00FB6D7F" w:rsidRDefault="00FB6D7F" w:rsidP="00FB6D7F">
            <w:pPr>
              <w:autoSpaceDE w:val="0"/>
              <w:autoSpaceDN w:val="0"/>
              <w:adjustRightInd w:val="0"/>
              <w:spacing w:before="0" w:line="240" w:lineRule="auto"/>
              <w:jc w:val="center"/>
              <w:rPr>
                <w:rFonts w:ascii="Times New Roman" w:hAnsi="Times New Roman"/>
                <w:sz w:val="18"/>
                <w:szCs w:val="18"/>
              </w:rPr>
            </w:pPr>
          </w:p>
        </w:tc>
        <w:tc>
          <w:tcPr>
            <w:tcW w:w="1289" w:type="dxa"/>
            <w:vAlign w:val="center"/>
          </w:tcPr>
          <w:p w14:paraId="75C5F56D" w14:textId="77777777" w:rsidR="00FB6D7F" w:rsidRPr="00FB6D7F" w:rsidRDefault="00FB6D7F" w:rsidP="00FB6D7F">
            <w:pPr>
              <w:kinsoku w:val="0"/>
              <w:overflowPunct w:val="0"/>
              <w:autoSpaceDE w:val="0"/>
              <w:autoSpaceDN w:val="0"/>
              <w:adjustRightInd w:val="0"/>
              <w:spacing w:before="0" w:line="240" w:lineRule="exact"/>
              <w:ind w:left="102"/>
              <w:jc w:val="center"/>
              <w:rPr>
                <w:rFonts w:ascii="Times New Roman" w:hAnsi="Times New Roman"/>
                <w:sz w:val="18"/>
                <w:szCs w:val="18"/>
              </w:rPr>
            </w:pPr>
            <w:r w:rsidRPr="00FB6D7F">
              <w:rPr>
                <w:rFonts w:cs="Arial"/>
                <w:sz w:val="18"/>
                <w:szCs w:val="18"/>
              </w:rPr>
              <w:t>1</w:t>
            </w:r>
          </w:p>
        </w:tc>
      </w:tr>
      <w:tr w:rsidR="00FB6D7F" w:rsidRPr="00FB6D7F" w14:paraId="2933DCE5" w14:textId="77777777" w:rsidTr="00FB6D7F">
        <w:trPr>
          <w:trHeight w:hRule="exact" w:val="305"/>
        </w:trPr>
        <w:tc>
          <w:tcPr>
            <w:tcW w:w="3116" w:type="dxa"/>
          </w:tcPr>
          <w:p w14:paraId="394F81C1" w14:textId="77777777" w:rsidR="00FB6D7F" w:rsidRPr="00FB6D7F" w:rsidRDefault="00FB6D7F" w:rsidP="00FB6D7F">
            <w:pPr>
              <w:kinsoku w:val="0"/>
              <w:overflowPunct w:val="0"/>
              <w:autoSpaceDE w:val="0"/>
              <w:autoSpaceDN w:val="0"/>
              <w:adjustRightInd w:val="0"/>
              <w:spacing w:before="0" w:line="240" w:lineRule="exact"/>
              <w:ind w:left="104"/>
              <w:jc w:val="left"/>
              <w:rPr>
                <w:rFonts w:ascii="Times New Roman" w:hAnsi="Times New Roman"/>
                <w:sz w:val="18"/>
                <w:szCs w:val="18"/>
              </w:rPr>
            </w:pPr>
            <w:r w:rsidRPr="00FB6D7F">
              <w:rPr>
                <w:rFonts w:cs="Arial"/>
                <w:spacing w:val="-1"/>
                <w:sz w:val="18"/>
                <w:szCs w:val="18"/>
              </w:rPr>
              <w:t>Masterarbeit</w:t>
            </w:r>
            <w:r w:rsidRPr="00FB6D7F">
              <w:rPr>
                <w:rFonts w:cs="Arial"/>
                <w:spacing w:val="-2"/>
                <w:sz w:val="18"/>
                <w:szCs w:val="18"/>
              </w:rPr>
              <w:t xml:space="preserve"> </w:t>
            </w:r>
            <w:r w:rsidRPr="00FB6D7F">
              <w:rPr>
                <w:rFonts w:cs="Arial"/>
                <w:spacing w:val="-1"/>
                <w:sz w:val="18"/>
                <w:szCs w:val="18"/>
              </w:rPr>
              <w:t>mit</w:t>
            </w:r>
            <w:r w:rsidRPr="00FB6D7F">
              <w:rPr>
                <w:rFonts w:cs="Arial"/>
                <w:spacing w:val="-2"/>
                <w:sz w:val="18"/>
                <w:szCs w:val="18"/>
              </w:rPr>
              <w:t xml:space="preserve"> </w:t>
            </w:r>
            <w:r w:rsidRPr="00FB6D7F">
              <w:rPr>
                <w:rFonts w:cs="Arial"/>
                <w:spacing w:val="-1"/>
                <w:sz w:val="18"/>
                <w:szCs w:val="18"/>
              </w:rPr>
              <w:t>Kolloquium</w:t>
            </w:r>
          </w:p>
        </w:tc>
        <w:tc>
          <w:tcPr>
            <w:tcW w:w="1288" w:type="dxa"/>
            <w:vAlign w:val="center"/>
          </w:tcPr>
          <w:p w14:paraId="3A319B3C" w14:textId="77777777" w:rsidR="00FB6D7F" w:rsidRPr="00FB6D7F" w:rsidRDefault="00FB6D7F" w:rsidP="00FB6D7F">
            <w:pPr>
              <w:autoSpaceDE w:val="0"/>
              <w:autoSpaceDN w:val="0"/>
              <w:adjustRightInd w:val="0"/>
              <w:spacing w:before="0" w:line="240" w:lineRule="auto"/>
              <w:jc w:val="center"/>
              <w:rPr>
                <w:rFonts w:ascii="Times New Roman" w:hAnsi="Times New Roman"/>
                <w:sz w:val="18"/>
                <w:szCs w:val="18"/>
              </w:rPr>
            </w:pPr>
          </w:p>
        </w:tc>
        <w:tc>
          <w:tcPr>
            <w:tcW w:w="1288" w:type="dxa"/>
            <w:vAlign w:val="center"/>
          </w:tcPr>
          <w:p w14:paraId="1C1D29A3" w14:textId="77777777" w:rsidR="00FB6D7F" w:rsidRPr="00FB6D7F" w:rsidRDefault="00FB6D7F" w:rsidP="00FB6D7F">
            <w:pPr>
              <w:autoSpaceDE w:val="0"/>
              <w:autoSpaceDN w:val="0"/>
              <w:adjustRightInd w:val="0"/>
              <w:spacing w:before="0" w:line="240" w:lineRule="auto"/>
              <w:jc w:val="center"/>
              <w:rPr>
                <w:rFonts w:ascii="Times New Roman" w:hAnsi="Times New Roman"/>
                <w:sz w:val="18"/>
                <w:szCs w:val="18"/>
              </w:rPr>
            </w:pPr>
          </w:p>
        </w:tc>
        <w:tc>
          <w:tcPr>
            <w:tcW w:w="1288" w:type="dxa"/>
            <w:vAlign w:val="center"/>
          </w:tcPr>
          <w:p w14:paraId="25D307B7" w14:textId="77777777" w:rsidR="00FB6D7F" w:rsidRPr="00FB6D7F" w:rsidRDefault="00FB6D7F" w:rsidP="00FB6D7F">
            <w:pPr>
              <w:autoSpaceDE w:val="0"/>
              <w:autoSpaceDN w:val="0"/>
              <w:adjustRightInd w:val="0"/>
              <w:spacing w:before="0" w:line="240" w:lineRule="auto"/>
              <w:jc w:val="center"/>
              <w:rPr>
                <w:rFonts w:ascii="Times New Roman" w:hAnsi="Times New Roman"/>
                <w:sz w:val="18"/>
                <w:szCs w:val="18"/>
              </w:rPr>
            </w:pPr>
          </w:p>
        </w:tc>
        <w:tc>
          <w:tcPr>
            <w:tcW w:w="1289" w:type="dxa"/>
            <w:vAlign w:val="center"/>
          </w:tcPr>
          <w:p w14:paraId="2BDBC57B" w14:textId="77777777" w:rsidR="00FB6D7F" w:rsidRPr="00FB6D7F" w:rsidRDefault="00FB6D7F" w:rsidP="00FB6D7F">
            <w:pPr>
              <w:kinsoku w:val="0"/>
              <w:overflowPunct w:val="0"/>
              <w:autoSpaceDE w:val="0"/>
              <w:autoSpaceDN w:val="0"/>
              <w:adjustRightInd w:val="0"/>
              <w:spacing w:before="0" w:line="240" w:lineRule="exact"/>
              <w:ind w:left="102"/>
              <w:jc w:val="center"/>
              <w:rPr>
                <w:rFonts w:ascii="Times New Roman" w:hAnsi="Times New Roman"/>
                <w:sz w:val="18"/>
                <w:szCs w:val="18"/>
              </w:rPr>
            </w:pPr>
            <w:r w:rsidRPr="00FB6D7F">
              <w:rPr>
                <w:rFonts w:cs="Arial"/>
                <w:sz w:val="18"/>
                <w:szCs w:val="18"/>
              </w:rPr>
              <w:t>1</w:t>
            </w:r>
          </w:p>
        </w:tc>
      </w:tr>
      <w:tr w:rsidR="00FB6D7F" w:rsidRPr="00FB6D7F" w14:paraId="3FE3ED48" w14:textId="77777777" w:rsidTr="00FB6D7F">
        <w:trPr>
          <w:trHeight w:hRule="exact" w:val="305"/>
        </w:trPr>
        <w:tc>
          <w:tcPr>
            <w:tcW w:w="3116" w:type="dxa"/>
          </w:tcPr>
          <w:p w14:paraId="45AE1588" w14:textId="77777777" w:rsidR="00FB6D7F" w:rsidRPr="00FB6D7F" w:rsidRDefault="00FB6D7F" w:rsidP="00FB6D7F">
            <w:pPr>
              <w:kinsoku w:val="0"/>
              <w:overflowPunct w:val="0"/>
              <w:autoSpaceDE w:val="0"/>
              <w:autoSpaceDN w:val="0"/>
              <w:adjustRightInd w:val="0"/>
              <w:spacing w:before="0" w:line="240" w:lineRule="exact"/>
              <w:ind w:left="104"/>
              <w:jc w:val="left"/>
              <w:rPr>
                <w:rFonts w:ascii="Times New Roman" w:hAnsi="Times New Roman"/>
                <w:sz w:val="18"/>
                <w:szCs w:val="18"/>
              </w:rPr>
            </w:pPr>
            <w:r w:rsidRPr="00FB6D7F">
              <w:rPr>
                <w:rFonts w:cs="Arial"/>
                <w:spacing w:val="-1"/>
                <w:sz w:val="18"/>
                <w:szCs w:val="18"/>
              </w:rPr>
              <w:t>gemäß</w:t>
            </w:r>
            <w:r w:rsidRPr="00FB6D7F">
              <w:rPr>
                <w:rFonts w:cs="Arial"/>
                <w:sz w:val="18"/>
                <w:szCs w:val="18"/>
              </w:rPr>
              <w:t xml:space="preserve"> </w:t>
            </w:r>
            <w:r w:rsidRPr="00FB6D7F">
              <w:rPr>
                <w:rFonts w:cs="Arial"/>
                <w:spacing w:val="-1"/>
                <w:sz w:val="18"/>
                <w:szCs w:val="18"/>
              </w:rPr>
              <w:t>Wahlmodulkatalog</w:t>
            </w:r>
          </w:p>
        </w:tc>
        <w:tc>
          <w:tcPr>
            <w:tcW w:w="1288" w:type="dxa"/>
            <w:vAlign w:val="center"/>
          </w:tcPr>
          <w:p w14:paraId="427CE22A" w14:textId="77777777" w:rsidR="00FB6D7F" w:rsidRPr="00FB6D7F" w:rsidRDefault="00FB6D7F" w:rsidP="00FB6D7F">
            <w:pPr>
              <w:autoSpaceDE w:val="0"/>
              <w:autoSpaceDN w:val="0"/>
              <w:adjustRightInd w:val="0"/>
              <w:spacing w:before="0" w:line="240" w:lineRule="auto"/>
              <w:jc w:val="center"/>
              <w:rPr>
                <w:rFonts w:ascii="Times New Roman" w:hAnsi="Times New Roman"/>
                <w:sz w:val="18"/>
                <w:szCs w:val="18"/>
              </w:rPr>
            </w:pPr>
          </w:p>
        </w:tc>
        <w:tc>
          <w:tcPr>
            <w:tcW w:w="1288" w:type="dxa"/>
            <w:vAlign w:val="center"/>
          </w:tcPr>
          <w:p w14:paraId="4BFD4457" w14:textId="77777777" w:rsidR="00FB6D7F" w:rsidRPr="00FB6D7F" w:rsidRDefault="00FB6D7F" w:rsidP="00FB6D7F">
            <w:pPr>
              <w:autoSpaceDE w:val="0"/>
              <w:autoSpaceDN w:val="0"/>
              <w:adjustRightInd w:val="0"/>
              <w:spacing w:before="0" w:line="240" w:lineRule="auto"/>
              <w:jc w:val="center"/>
              <w:rPr>
                <w:rFonts w:ascii="Times New Roman" w:hAnsi="Times New Roman"/>
                <w:sz w:val="18"/>
                <w:szCs w:val="18"/>
              </w:rPr>
            </w:pPr>
          </w:p>
        </w:tc>
        <w:tc>
          <w:tcPr>
            <w:tcW w:w="1288" w:type="dxa"/>
            <w:vAlign w:val="center"/>
          </w:tcPr>
          <w:p w14:paraId="4E33AAB3" w14:textId="77777777" w:rsidR="00FB6D7F" w:rsidRPr="00FB6D7F" w:rsidRDefault="00FB6D7F" w:rsidP="00FB6D7F">
            <w:pPr>
              <w:kinsoku w:val="0"/>
              <w:overflowPunct w:val="0"/>
              <w:autoSpaceDE w:val="0"/>
              <w:autoSpaceDN w:val="0"/>
              <w:adjustRightInd w:val="0"/>
              <w:spacing w:before="0" w:line="240" w:lineRule="exact"/>
              <w:ind w:left="104"/>
              <w:jc w:val="center"/>
              <w:rPr>
                <w:rFonts w:ascii="Times New Roman" w:hAnsi="Times New Roman"/>
                <w:sz w:val="18"/>
                <w:szCs w:val="18"/>
              </w:rPr>
            </w:pPr>
            <w:r w:rsidRPr="00FB6D7F">
              <w:rPr>
                <w:rFonts w:cs="Arial"/>
                <w:sz w:val="18"/>
                <w:szCs w:val="18"/>
              </w:rPr>
              <w:t>1</w:t>
            </w:r>
          </w:p>
        </w:tc>
        <w:tc>
          <w:tcPr>
            <w:tcW w:w="1289" w:type="dxa"/>
            <w:vAlign w:val="center"/>
          </w:tcPr>
          <w:p w14:paraId="2F2880DA" w14:textId="77777777" w:rsidR="00FB6D7F" w:rsidRPr="00FB6D7F" w:rsidRDefault="00FB6D7F" w:rsidP="00FB6D7F">
            <w:pPr>
              <w:kinsoku w:val="0"/>
              <w:overflowPunct w:val="0"/>
              <w:autoSpaceDE w:val="0"/>
              <w:autoSpaceDN w:val="0"/>
              <w:adjustRightInd w:val="0"/>
              <w:spacing w:before="0" w:line="240" w:lineRule="exact"/>
              <w:ind w:left="102"/>
              <w:jc w:val="center"/>
              <w:rPr>
                <w:rFonts w:ascii="Times New Roman" w:hAnsi="Times New Roman"/>
                <w:sz w:val="18"/>
                <w:szCs w:val="18"/>
              </w:rPr>
            </w:pPr>
            <w:r w:rsidRPr="00FB6D7F">
              <w:rPr>
                <w:rFonts w:cs="Arial"/>
                <w:sz w:val="18"/>
                <w:szCs w:val="18"/>
              </w:rPr>
              <w:t>1</w:t>
            </w:r>
          </w:p>
        </w:tc>
      </w:tr>
      <w:tr w:rsidR="00FB6D7F" w:rsidRPr="00FB6D7F" w14:paraId="0E29E52A" w14:textId="77777777" w:rsidTr="00FB6D7F">
        <w:trPr>
          <w:trHeight w:hRule="exact" w:val="305"/>
        </w:trPr>
        <w:tc>
          <w:tcPr>
            <w:tcW w:w="3116" w:type="dxa"/>
          </w:tcPr>
          <w:p w14:paraId="2612C4F1" w14:textId="77777777" w:rsidR="00FB6D7F" w:rsidRPr="00FB6D7F" w:rsidRDefault="00FB6D7F" w:rsidP="00FB6D7F">
            <w:pPr>
              <w:kinsoku w:val="0"/>
              <w:overflowPunct w:val="0"/>
              <w:autoSpaceDE w:val="0"/>
              <w:autoSpaceDN w:val="0"/>
              <w:adjustRightInd w:val="0"/>
              <w:spacing w:before="0" w:line="240" w:lineRule="exact"/>
              <w:ind w:left="104"/>
              <w:jc w:val="left"/>
              <w:rPr>
                <w:rFonts w:ascii="Times New Roman" w:hAnsi="Times New Roman"/>
                <w:sz w:val="18"/>
                <w:szCs w:val="18"/>
              </w:rPr>
            </w:pPr>
            <w:r w:rsidRPr="00FB6D7F">
              <w:rPr>
                <w:rFonts w:cs="Arial"/>
                <w:b/>
                <w:bCs/>
                <w:spacing w:val="-2"/>
                <w:sz w:val="18"/>
                <w:szCs w:val="18"/>
              </w:rPr>
              <w:t>GESAMT</w:t>
            </w:r>
          </w:p>
        </w:tc>
        <w:tc>
          <w:tcPr>
            <w:tcW w:w="1288" w:type="dxa"/>
            <w:vAlign w:val="center"/>
          </w:tcPr>
          <w:p w14:paraId="391A069A" w14:textId="77777777" w:rsidR="00FB6D7F" w:rsidRPr="00FB6D7F" w:rsidRDefault="00FB6D7F" w:rsidP="00FB6D7F">
            <w:pPr>
              <w:kinsoku w:val="0"/>
              <w:overflowPunct w:val="0"/>
              <w:autoSpaceDE w:val="0"/>
              <w:autoSpaceDN w:val="0"/>
              <w:adjustRightInd w:val="0"/>
              <w:spacing w:before="0" w:line="240" w:lineRule="exact"/>
              <w:ind w:left="102"/>
              <w:jc w:val="center"/>
              <w:rPr>
                <w:rFonts w:ascii="Times New Roman" w:hAnsi="Times New Roman"/>
                <w:sz w:val="18"/>
                <w:szCs w:val="18"/>
              </w:rPr>
            </w:pPr>
            <w:r w:rsidRPr="00FB6D7F">
              <w:rPr>
                <w:rFonts w:cs="Arial"/>
                <w:b/>
                <w:bCs/>
                <w:sz w:val="18"/>
                <w:szCs w:val="18"/>
              </w:rPr>
              <w:t>5</w:t>
            </w:r>
          </w:p>
        </w:tc>
        <w:tc>
          <w:tcPr>
            <w:tcW w:w="1288" w:type="dxa"/>
            <w:vAlign w:val="center"/>
          </w:tcPr>
          <w:p w14:paraId="367C0C80" w14:textId="77777777" w:rsidR="00FB6D7F" w:rsidRPr="00FB6D7F" w:rsidRDefault="00FB6D7F" w:rsidP="00FB6D7F">
            <w:pPr>
              <w:kinsoku w:val="0"/>
              <w:overflowPunct w:val="0"/>
              <w:autoSpaceDE w:val="0"/>
              <w:autoSpaceDN w:val="0"/>
              <w:adjustRightInd w:val="0"/>
              <w:spacing w:before="0" w:line="240" w:lineRule="exact"/>
              <w:ind w:left="102"/>
              <w:jc w:val="center"/>
              <w:rPr>
                <w:rFonts w:ascii="Times New Roman" w:hAnsi="Times New Roman"/>
                <w:sz w:val="18"/>
                <w:szCs w:val="18"/>
              </w:rPr>
            </w:pPr>
            <w:r w:rsidRPr="00FB6D7F">
              <w:rPr>
                <w:rFonts w:cs="Arial"/>
                <w:b/>
                <w:bCs/>
                <w:sz w:val="18"/>
                <w:szCs w:val="18"/>
              </w:rPr>
              <w:t>6</w:t>
            </w:r>
          </w:p>
        </w:tc>
        <w:tc>
          <w:tcPr>
            <w:tcW w:w="1288" w:type="dxa"/>
            <w:vAlign w:val="center"/>
          </w:tcPr>
          <w:p w14:paraId="4FF85A13" w14:textId="77777777" w:rsidR="00FB6D7F" w:rsidRPr="00FB6D7F" w:rsidRDefault="00FB6D7F" w:rsidP="00FB6D7F">
            <w:pPr>
              <w:kinsoku w:val="0"/>
              <w:overflowPunct w:val="0"/>
              <w:autoSpaceDE w:val="0"/>
              <w:autoSpaceDN w:val="0"/>
              <w:adjustRightInd w:val="0"/>
              <w:spacing w:before="0" w:line="240" w:lineRule="exact"/>
              <w:ind w:left="104"/>
              <w:jc w:val="center"/>
              <w:rPr>
                <w:rFonts w:ascii="Times New Roman" w:hAnsi="Times New Roman"/>
                <w:sz w:val="18"/>
                <w:szCs w:val="18"/>
              </w:rPr>
            </w:pPr>
            <w:r w:rsidRPr="00FB6D7F">
              <w:rPr>
                <w:rFonts w:cs="Arial"/>
                <w:b/>
                <w:bCs/>
                <w:sz w:val="18"/>
                <w:szCs w:val="18"/>
              </w:rPr>
              <w:t>5</w:t>
            </w:r>
          </w:p>
        </w:tc>
        <w:tc>
          <w:tcPr>
            <w:tcW w:w="1289" w:type="dxa"/>
            <w:vAlign w:val="center"/>
          </w:tcPr>
          <w:p w14:paraId="05A46100" w14:textId="77777777" w:rsidR="00FB6D7F" w:rsidRPr="00FB6D7F" w:rsidRDefault="00FB6D7F" w:rsidP="00FB6D7F">
            <w:pPr>
              <w:kinsoku w:val="0"/>
              <w:overflowPunct w:val="0"/>
              <w:autoSpaceDE w:val="0"/>
              <w:autoSpaceDN w:val="0"/>
              <w:adjustRightInd w:val="0"/>
              <w:spacing w:before="0" w:line="240" w:lineRule="exact"/>
              <w:ind w:left="102"/>
              <w:jc w:val="center"/>
              <w:rPr>
                <w:rFonts w:ascii="Times New Roman" w:hAnsi="Times New Roman"/>
                <w:sz w:val="18"/>
                <w:szCs w:val="18"/>
              </w:rPr>
            </w:pPr>
            <w:r w:rsidRPr="00FB6D7F">
              <w:rPr>
                <w:rFonts w:cs="Arial"/>
                <w:b/>
                <w:bCs/>
                <w:sz w:val="18"/>
                <w:szCs w:val="18"/>
              </w:rPr>
              <w:t>3</w:t>
            </w:r>
          </w:p>
        </w:tc>
      </w:tr>
    </w:tbl>
    <w:p w14:paraId="3CE7979C" w14:textId="77777777" w:rsidR="00FB6D7F" w:rsidRPr="00FB6D7F" w:rsidRDefault="00FB6D7F" w:rsidP="00FB6D7F">
      <w:pPr>
        <w:spacing w:before="240" w:line="240" w:lineRule="auto"/>
        <w:rPr>
          <w:sz w:val="16"/>
          <w:szCs w:val="16"/>
        </w:rPr>
      </w:pPr>
      <w:r w:rsidRPr="00FB6D7F">
        <w:rPr>
          <w:sz w:val="16"/>
          <w:szCs w:val="16"/>
        </w:rPr>
        <w:t xml:space="preserve">*1 Modul 7: Entweder Studienarbeit oder Mündliches Prüfungsgespräch. </w:t>
      </w:r>
    </w:p>
    <w:p w14:paraId="52717E9E" w14:textId="1BB00627" w:rsidR="00FB6D7F" w:rsidRDefault="00FB6D7F" w:rsidP="00FB6D7F">
      <w:pPr>
        <w:spacing w:before="0" w:line="240" w:lineRule="auto"/>
        <w:rPr>
          <w:sz w:val="16"/>
          <w:szCs w:val="16"/>
        </w:rPr>
      </w:pPr>
      <w:r w:rsidRPr="00FB6D7F">
        <w:rPr>
          <w:sz w:val="16"/>
          <w:szCs w:val="16"/>
        </w:rPr>
        <w:t>*2 Modul 12: Entweder Studienarbeit oder Mündliches Prüfungsgespräch.</w:t>
      </w:r>
    </w:p>
    <w:p w14:paraId="61654DAF" w14:textId="5A272BE7" w:rsidR="00885ADA" w:rsidRDefault="00885ADA" w:rsidP="00B7569E">
      <w:pPr>
        <w:spacing w:line="240" w:lineRule="auto"/>
        <w:rPr>
          <w:sz w:val="16"/>
          <w:szCs w:val="16"/>
        </w:rPr>
      </w:pPr>
      <w:r>
        <w:t>Die Hochschule hat die Rechtsprüfung der Prüfungsordnung bestätigt.</w:t>
      </w:r>
    </w:p>
    <w:p w14:paraId="26631C1A" w14:textId="77777777" w:rsidR="00FB6D7F" w:rsidRPr="00FB6D7F" w:rsidRDefault="00FB6D7F" w:rsidP="00FB6D7F">
      <w:pPr>
        <w:spacing w:before="0" w:line="240" w:lineRule="auto"/>
        <w:rPr>
          <w:rFonts w:cs="Arial"/>
          <w:iCs/>
          <w:sz w:val="16"/>
          <w:szCs w:val="16"/>
        </w:rPr>
      </w:pPr>
    </w:p>
    <w:bookmarkEnd w:id="61"/>
    <w:p w14:paraId="6D40AC3A" w14:textId="65163965" w:rsidR="00F723CB" w:rsidRDefault="00F723CB" w:rsidP="007244DF">
      <w:pPr>
        <w:rPr>
          <w:rFonts w:cs="Arial"/>
          <w:i/>
          <w:szCs w:val="22"/>
        </w:rPr>
      </w:pPr>
      <w:r w:rsidRPr="002B74BB">
        <w:rPr>
          <w:rFonts w:cs="Arial"/>
          <w:b/>
          <w:color w:val="A71930"/>
          <w:szCs w:val="22"/>
        </w:rPr>
        <w:t xml:space="preserve">Bewertung: Stärken und Entwicklungsbedarf </w:t>
      </w:r>
    </w:p>
    <w:p w14:paraId="12BC8DD3" w14:textId="01A48791" w:rsidR="00800D0A" w:rsidRPr="00800D0A" w:rsidRDefault="00800D0A" w:rsidP="00800D0A">
      <w:pPr>
        <w:rPr>
          <w:szCs w:val="22"/>
        </w:rPr>
      </w:pPr>
      <w:r w:rsidRPr="00800D0A">
        <w:t>Nach Einschätzung der Gutachter:innen sind die Prüfungen im Studiengang modulbezogen und kompetenzorientiert ausgestaltet. Sie sind geeignet, festzustellen, ob die Qualifikationsziele er-reicht wurden.</w:t>
      </w:r>
      <w:r w:rsidRPr="00800D0A">
        <w:rPr>
          <w:szCs w:val="22"/>
        </w:rPr>
        <w:t xml:space="preserve"> Ausnahme bildet ihrer Meinung nach das </w:t>
      </w:r>
      <w:r w:rsidRPr="00800D0A">
        <w:rPr>
          <w:szCs w:val="22"/>
        </w:rPr>
        <w:t xml:space="preserve">Modul 4 </w:t>
      </w:r>
      <w:bookmarkStart w:id="63" w:name="_Hlk146872595"/>
      <w:r w:rsidRPr="00800D0A">
        <w:rPr>
          <w:szCs w:val="22"/>
        </w:rPr>
        <w:t>„Forschungsmethod</w:t>
      </w:r>
      <w:r w:rsidR="00B454E0">
        <w:rPr>
          <w:szCs w:val="22"/>
        </w:rPr>
        <w:t>ik</w:t>
      </w:r>
      <w:r w:rsidRPr="00800D0A">
        <w:rPr>
          <w:szCs w:val="22"/>
        </w:rPr>
        <w:t xml:space="preserve"> I,</w:t>
      </w:r>
      <w:r w:rsidR="001E443A">
        <w:rPr>
          <w:szCs w:val="22"/>
        </w:rPr>
        <w:t xml:space="preserve"> </w:t>
      </w:r>
      <w:r w:rsidRPr="00800D0A">
        <w:rPr>
          <w:szCs w:val="22"/>
        </w:rPr>
        <w:t>II“</w:t>
      </w:r>
      <w:bookmarkEnd w:id="63"/>
      <w:r w:rsidRPr="00800D0A">
        <w:rPr>
          <w:szCs w:val="22"/>
        </w:rPr>
        <w:t xml:space="preserve">. </w:t>
      </w:r>
      <w:r w:rsidRPr="00800D0A">
        <w:rPr>
          <w:szCs w:val="22"/>
        </w:rPr>
        <w:t xml:space="preserve">Das Modul schließt mit einer </w:t>
      </w:r>
      <w:r w:rsidR="008F0992">
        <w:rPr>
          <w:szCs w:val="22"/>
        </w:rPr>
        <w:t>zehn</w:t>
      </w:r>
      <w:r w:rsidR="00B8421C">
        <w:rPr>
          <w:szCs w:val="22"/>
        </w:rPr>
        <w:t>m</w:t>
      </w:r>
      <w:r w:rsidRPr="00800D0A">
        <w:rPr>
          <w:szCs w:val="22"/>
        </w:rPr>
        <w:t xml:space="preserve">inütigen Präsentation </w:t>
      </w:r>
      <w:r w:rsidR="001E443A">
        <w:rPr>
          <w:szCs w:val="22"/>
        </w:rPr>
        <w:t xml:space="preserve">und </w:t>
      </w:r>
      <w:r w:rsidRPr="00800D0A">
        <w:rPr>
          <w:szCs w:val="22"/>
        </w:rPr>
        <w:t xml:space="preserve">mit Fragen (Science Slam) </w:t>
      </w:r>
      <w:r w:rsidR="001E443A">
        <w:rPr>
          <w:szCs w:val="22"/>
        </w:rPr>
        <w:t xml:space="preserve">zu </w:t>
      </w:r>
      <w:r w:rsidRPr="00800D0A">
        <w:rPr>
          <w:szCs w:val="22"/>
        </w:rPr>
        <w:t>eine</w:t>
      </w:r>
      <w:r w:rsidR="001E443A">
        <w:rPr>
          <w:szCs w:val="22"/>
        </w:rPr>
        <w:t xml:space="preserve">m </w:t>
      </w:r>
      <w:r w:rsidRPr="00800D0A">
        <w:rPr>
          <w:szCs w:val="22"/>
        </w:rPr>
        <w:t>eigenen kleinen Forschungsprojekt. Die Art der Präsentation kann frei gewählt werden, bspw. Vortrag, Posterpräsentation, Durchführung eines Experiments, Videopräsentation</w:t>
      </w:r>
      <w:r w:rsidR="001E443A">
        <w:rPr>
          <w:szCs w:val="22"/>
        </w:rPr>
        <w:t>.</w:t>
      </w:r>
      <w:r w:rsidRPr="00800D0A">
        <w:rPr>
          <w:szCs w:val="22"/>
        </w:rPr>
        <w:t xml:space="preserve"> Die Gutachter:innen sind der Ansicht, dass Forschungsmethoden idealerweise wissensorientiert zusätzlich oder ganz über eine Klausur abgeprüft werden sollten. Sie empfehlen der Hochschule eine Änderung der Prüfungsform in diesem Modul.  </w:t>
      </w:r>
    </w:p>
    <w:p w14:paraId="69DC9A56" w14:textId="77777777" w:rsidR="00D62DB3" w:rsidRPr="00F00AAB" w:rsidRDefault="00D62DB3" w:rsidP="00800D0A">
      <w:pPr>
        <w:pStyle w:val="Titel"/>
      </w:pPr>
      <w:r w:rsidRPr="00457100">
        <w:t>Entscheidungsvorschla</w:t>
      </w:r>
      <w:r>
        <w:t>g</w:t>
      </w:r>
    </w:p>
    <w:p w14:paraId="4F19C629" w14:textId="77777777" w:rsidR="00D62DB3" w:rsidRPr="00FC2FB8" w:rsidRDefault="00D62DB3" w:rsidP="00D62DB3">
      <w:pPr>
        <w:spacing w:before="0"/>
        <w:rPr>
          <w:rFonts w:cs="Arial"/>
          <w:i/>
          <w:szCs w:val="22"/>
        </w:rPr>
      </w:pPr>
      <w:r>
        <w:rPr>
          <w:rFonts w:cs="Arial"/>
          <w:szCs w:val="22"/>
        </w:rPr>
        <w:t>Das Kriterium ist e</w:t>
      </w:r>
      <w:r w:rsidRPr="00FD370C">
        <w:rPr>
          <w:rFonts w:cs="Arial"/>
          <w:szCs w:val="22"/>
        </w:rPr>
        <w:t>rfüllt</w:t>
      </w:r>
      <w:r>
        <w:rPr>
          <w:rFonts w:cs="Arial"/>
          <w:szCs w:val="22"/>
        </w:rPr>
        <w:t>.</w:t>
      </w:r>
      <w:r w:rsidRPr="00FD370C">
        <w:rPr>
          <w:rFonts w:cs="Arial"/>
          <w:szCs w:val="22"/>
        </w:rPr>
        <w:t xml:space="preserve"> </w:t>
      </w:r>
    </w:p>
    <w:p w14:paraId="1AB76468" w14:textId="79AEE369" w:rsidR="00800D0A" w:rsidRDefault="00F723CB" w:rsidP="00CF5A62">
      <w:pPr>
        <w:spacing w:before="0" w:after="120" w:line="240" w:lineRule="auto"/>
        <w:rPr>
          <w:rFonts w:cs="Arial"/>
          <w:szCs w:val="22"/>
        </w:rPr>
      </w:pPr>
      <w:r w:rsidRPr="002B74BB">
        <w:rPr>
          <w:rFonts w:cs="Arial"/>
          <w:szCs w:val="22"/>
        </w:rPr>
        <w:t>Das Gutachter</w:t>
      </w:r>
      <w:r w:rsidR="00466760">
        <w:rPr>
          <w:rFonts w:cs="Arial"/>
          <w:szCs w:val="22"/>
        </w:rPr>
        <w:t>:innen</w:t>
      </w:r>
      <w:r w:rsidRPr="002B74BB">
        <w:rPr>
          <w:rFonts w:cs="Arial"/>
          <w:szCs w:val="22"/>
        </w:rPr>
        <w:t xml:space="preserve">gremium gibt folgende Empfehlung: </w:t>
      </w:r>
    </w:p>
    <w:p w14:paraId="6F71FA37" w14:textId="7441D87B" w:rsidR="00F723CB" w:rsidRDefault="00506EEE" w:rsidP="00800D0A">
      <w:pPr>
        <w:pStyle w:val="AufzhlungAuflagen"/>
        <w:rPr>
          <w:i/>
        </w:rPr>
      </w:pPr>
      <w:r>
        <w:t xml:space="preserve">Die Inhalte des Moduls 4 </w:t>
      </w:r>
      <w:r w:rsidR="00800D0A" w:rsidRPr="00800D0A">
        <w:t>„Forschungsmethod</w:t>
      </w:r>
      <w:r w:rsidR="00B454E0">
        <w:t>ik</w:t>
      </w:r>
      <w:r w:rsidR="00800D0A" w:rsidRPr="00800D0A">
        <w:t xml:space="preserve"> I,</w:t>
      </w:r>
      <w:r w:rsidR="001E443A">
        <w:t xml:space="preserve"> </w:t>
      </w:r>
      <w:r w:rsidR="00800D0A" w:rsidRPr="00800D0A">
        <w:t>II“</w:t>
      </w:r>
      <w:r w:rsidR="00800D0A">
        <w:t xml:space="preserve"> </w:t>
      </w:r>
      <w:r>
        <w:t xml:space="preserve">sollten mit einer Klausur abgeprüft werden. </w:t>
      </w:r>
    </w:p>
    <w:p w14:paraId="6AFCD851" w14:textId="77777777" w:rsidR="004A12CD" w:rsidRPr="002B74BB" w:rsidRDefault="004A12CD" w:rsidP="00CF5A62">
      <w:pPr>
        <w:spacing w:before="0" w:after="120" w:line="240" w:lineRule="auto"/>
        <w:rPr>
          <w:rFonts w:cs="Arial"/>
          <w:szCs w:val="22"/>
        </w:rPr>
      </w:pPr>
    </w:p>
    <w:p w14:paraId="147E1360" w14:textId="4018430F" w:rsidR="00176C52" w:rsidRPr="001C59D3" w:rsidRDefault="00E746E1" w:rsidP="007244DF">
      <w:pPr>
        <w:pStyle w:val="berschrift4"/>
        <w:spacing w:before="0"/>
      </w:pPr>
      <w:bookmarkStart w:id="64" w:name="_Studierbarkeit_(§_12"/>
      <w:bookmarkStart w:id="65" w:name="_Toc141346983"/>
      <w:bookmarkEnd w:id="64"/>
      <w:r w:rsidRPr="002A24D7">
        <w:t>Studierbarkeit</w:t>
      </w:r>
      <w:r w:rsidR="00251493">
        <w:t xml:space="preserve"> </w:t>
      </w:r>
      <w:hyperlink w:anchor="StudiengangskonzeptAbs5" w:history="1">
        <w:r w:rsidR="00251493" w:rsidRPr="00C17FA1">
          <w:rPr>
            <w:rStyle w:val="Hyperlink"/>
          </w:rPr>
          <w:t>(</w:t>
        </w:r>
        <w:r w:rsidR="00251493" w:rsidRPr="00C17FA1">
          <w:rPr>
            <w:rStyle w:val="Hyperlink"/>
            <w:rFonts w:cs="Arial"/>
          </w:rPr>
          <w:t>§ 12 Abs. 5 MRVO)</w:t>
        </w:r>
        <w:bookmarkEnd w:id="65"/>
      </w:hyperlink>
    </w:p>
    <w:p w14:paraId="02990A58" w14:textId="2BFEDFC4" w:rsidR="00F723CB" w:rsidRDefault="003336AB" w:rsidP="007244DF">
      <w:pPr>
        <w:rPr>
          <w:rFonts w:cs="Arial"/>
          <w:b/>
          <w:color w:val="A71930"/>
          <w:szCs w:val="22"/>
        </w:rPr>
      </w:pPr>
      <w:r>
        <w:rPr>
          <w:rFonts w:cs="Arial"/>
          <w:b/>
          <w:color w:val="A71930"/>
          <w:szCs w:val="22"/>
        </w:rPr>
        <w:t>Sachstand</w:t>
      </w:r>
    </w:p>
    <w:p w14:paraId="10D43566" w14:textId="62984197" w:rsidR="00202B2D" w:rsidRDefault="00202B2D" w:rsidP="00567B28">
      <w:pPr>
        <w:rPr>
          <w:rFonts w:cs="Arial"/>
          <w:iCs/>
          <w:szCs w:val="22"/>
        </w:rPr>
      </w:pPr>
      <w:bookmarkStart w:id="66" w:name="_Hlk35861590"/>
      <w:r w:rsidRPr="009A6867">
        <w:t>Die Hochschule hat einen Studienverlaufsplan eingereicht, aus dem die Aufteilung der Semesterwochenstunden je Modul und Semester, der Workload, die Leistungspunktevergabe, die Prüfungsform sowie die Lehrveranstaltungsart der Module hervorgeh</w:t>
      </w:r>
      <w:r w:rsidR="001E443A">
        <w:t>en</w:t>
      </w:r>
      <w:r w:rsidRPr="009A6867">
        <w:t>. Das Curriculum des Studiengangs ist so konzipiert, dass alle Module binnen eine</w:t>
      </w:r>
      <w:r w:rsidR="001E443A">
        <w:t xml:space="preserve">m Semester </w:t>
      </w:r>
      <w:r w:rsidR="009A6867" w:rsidRPr="009A6867">
        <w:t>oder zwei</w:t>
      </w:r>
      <w:r w:rsidRPr="009A6867">
        <w:t xml:space="preserve"> Semester</w:t>
      </w:r>
      <w:r w:rsidR="001E443A">
        <w:t>n</w:t>
      </w:r>
      <w:r w:rsidRPr="009A6867">
        <w:t xml:space="preserve"> zu absolvieren sind.</w:t>
      </w:r>
      <w:r w:rsidRPr="00202B2D">
        <w:rPr>
          <w:rFonts w:cs="Arial"/>
          <w:iCs/>
          <w:szCs w:val="22"/>
        </w:rPr>
        <w:t xml:space="preserve"> </w:t>
      </w:r>
      <w:r w:rsidR="00B7569E">
        <w:rPr>
          <w:rFonts w:cs="Arial"/>
          <w:iCs/>
          <w:szCs w:val="22"/>
        </w:rPr>
        <w:t>Jedes Modul schließt mit einer Prüfung</w:t>
      </w:r>
      <w:r w:rsidR="001E443A">
        <w:rPr>
          <w:rFonts w:cs="Arial"/>
          <w:iCs/>
          <w:szCs w:val="22"/>
        </w:rPr>
        <w:t xml:space="preserve"> ab</w:t>
      </w:r>
      <w:r w:rsidR="00B7569E">
        <w:rPr>
          <w:rFonts w:cs="Arial"/>
          <w:iCs/>
          <w:szCs w:val="22"/>
        </w:rPr>
        <w:t xml:space="preserve">. </w:t>
      </w:r>
      <w:r w:rsidRPr="00202B2D">
        <w:rPr>
          <w:rFonts w:cs="Arial"/>
          <w:iCs/>
          <w:szCs w:val="22"/>
        </w:rPr>
        <w:t xml:space="preserve">Alle Module umfassen mindestens fünf CP. Pro Semester werden </w:t>
      </w:r>
      <w:r w:rsidR="009A6867">
        <w:rPr>
          <w:rFonts w:cs="Arial"/>
          <w:iCs/>
          <w:szCs w:val="22"/>
        </w:rPr>
        <w:t>30</w:t>
      </w:r>
      <w:r w:rsidRPr="00202B2D">
        <w:rPr>
          <w:rFonts w:cs="Arial"/>
          <w:iCs/>
          <w:szCs w:val="22"/>
        </w:rPr>
        <w:t xml:space="preserve"> CP erworben. Der Workload der Studierenden wird erhoben.</w:t>
      </w:r>
    </w:p>
    <w:p w14:paraId="48CDC38A" w14:textId="1668D50A" w:rsidR="00567B28" w:rsidRDefault="00567B28" w:rsidP="00567B28">
      <w:r w:rsidRPr="00C3784A">
        <w:lastRenderedPageBreak/>
        <w:t xml:space="preserve">Neben der individuellen fachlichen Betreuung durch die Lehrenden finden die Studierenden in mehreren Einrichtungen der Hochschule Unterstützung. Studieninteressierte erhalten Beratung und Begleitung im Bewerbungsprozess vom Bewerbungsmanagement. </w:t>
      </w:r>
      <w:r>
        <w:t xml:space="preserve">Der Studierendenservice berät zur Studienorganisation, zur -finanzierung sowie zum Thema Vereinbarkeit von Studium und Familie. </w:t>
      </w:r>
      <w:r w:rsidRPr="00C3784A">
        <w:t>Die Serviceeinrichtung Studium und Lehre hält Informationen zur Studienverlaufsplanung bereit und berät in Konfliktfällen zwischen Studierenden und Lehrende</w:t>
      </w:r>
      <w:r w:rsidR="00FE231F">
        <w:t>n</w:t>
      </w:r>
      <w:r w:rsidRPr="00C3784A">
        <w:t xml:space="preserve">. Beim Prüfungswesen erhalten die </w:t>
      </w:r>
      <w:r w:rsidR="00BD249F">
        <w:t>Studierenden</w:t>
      </w:r>
      <w:r w:rsidRPr="00C3784A">
        <w:t xml:space="preserve"> Informationen zur Prüfungsplanung sowie </w:t>
      </w:r>
      <w:r w:rsidR="001E443A">
        <w:t xml:space="preserve">zur </w:t>
      </w:r>
      <w:r w:rsidRPr="00C3784A">
        <w:t>individuelle</w:t>
      </w:r>
      <w:r w:rsidR="003C0053">
        <w:t>n</w:t>
      </w:r>
      <w:r w:rsidRPr="00C3784A">
        <w:t xml:space="preserve"> Beratung in Bezug auf Prüfungen, Härtefallregelungen o.ä. </w:t>
      </w:r>
      <w:r>
        <w:t>Die Studienkursleitungen führen regelmäßige Kohorten</w:t>
      </w:r>
      <w:r w:rsidR="001E443A">
        <w:t>-G</w:t>
      </w:r>
      <w:r>
        <w:t>espräche durch und bieten fachliche Beratung an. Die Einheit des Career Centers und des International Office unterstützt bei Auslandsaufenthalten und beim Erwerb von Schlüsselkompetenzen. Das Programm aktueller Workshops und Kurse steht auf der Website der Hochschule zur Verfügung.</w:t>
      </w:r>
    </w:p>
    <w:p w14:paraId="18D3675E" w14:textId="7D366F3B" w:rsidR="00567B28" w:rsidRDefault="00567B28" w:rsidP="00567B28">
      <w:r w:rsidRPr="00447468">
        <w:t>Die Modulprüfungen werden je nach Prüfungsform und Ausbildungsmodell parallel zur Lehrveranstaltung abgelegt, am Ende der Lehrveranstaltungen oder in der Prüfungszeit</w:t>
      </w:r>
      <w:r w:rsidR="00150340">
        <w:t xml:space="preserve"> nach dem Ende der Vorlesungszeit</w:t>
      </w:r>
      <w:r w:rsidRPr="00447468">
        <w:t>.</w:t>
      </w:r>
      <w:r>
        <w:t xml:space="preserve"> Nicht bestandene Modulprüfungen können gemäß § 13 Abs. 1 der RPO zweimal wiederholt werden. Die Masterarbeit kann bei Nichtbestehen gemäß § 21 Abs. 6 der RPO einmal wiederholt werden, in begründeten Ausnahmefällen zweimal.</w:t>
      </w:r>
    </w:p>
    <w:p w14:paraId="587D4721" w14:textId="77777777" w:rsidR="00567B28" w:rsidRPr="000853C0" w:rsidRDefault="00567B28" w:rsidP="00567B28">
      <w:pPr>
        <w:rPr>
          <w:lang w:eastAsia="en-US"/>
        </w:rPr>
      </w:pPr>
      <w:r w:rsidRPr="000853C0">
        <w:rPr>
          <w:lang w:eastAsia="en-US"/>
        </w:rPr>
        <w:t>Das Semester wird in die Abschnitte Vorlesungszeit, Prüfungszeitraum und Nachprüfungszeitraum eingeteilt. Diese Zeiträume sind zwischen dem Prüfungswesen und der Stundenplanung abgestimmt. Zu Beginn eines jeden Semesters gibt es eine veröffentlichte Stundenplanung für jeden Studiengang und jeden Studienkurs. Dadurch wird die Überschneidungsfreiheit von Lehrveranstaltungen und Prüfungen sichergestellt.</w:t>
      </w:r>
    </w:p>
    <w:bookmarkEnd w:id="66"/>
    <w:p w14:paraId="442E76E9" w14:textId="0E17EBAD" w:rsidR="00F723CB" w:rsidRDefault="00F723CB" w:rsidP="007244DF">
      <w:pPr>
        <w:rPr>
          <w:rFonts w:cs="Arial"/>
          <w:b/>
          <w:color w:val="A71930"/>
          <w:szCs w:val="22"/>
        </w:rPr>
      </w:pPr>
      <w:r w:rsidRPr="00457100">
        <w:rPr>
          <w:rFonts w:cs="Arial"/>
          <w:b/>
          <w:color w:val="A71930"/>
          <w:szCs w:val="22"/>
        </w:rPr>
        <w:t>Bewertung: Stärken und Entwicklungsbedarf</w:t>
      </w:r>
    </w:p>
    <w:p w14:paraId="5B86F64B" w14:textId="3A14FA5A" w:rsidR="009E360E" w:rsidRDefault="00D62DB3" w:rsidP="009E360E">
      <w:r w:rsidRPr="00EA1404">
        <w:t>Die Hochschule legt dar, dass sie sich als Präsenzhochschule versteh</w:t>
      </w:r>
      <w:r w:rsidR="00150340">
        <w:t>t</w:t>
      </w:r>
      <w:r w:rsidRPr="00EA1404">
        <w:t xml:space="preserve"> und daher eine Anwesenheitspflicht von 60 % </w:t>
      </w:r>
      <w:r w:rsidR="00150340">
        <w:t xml:space="preserve">in den Präsenzveranstaltungen </w:t>
      </w:r>
      <w:r w:rsidRPr="00EA1404">
        <w:t>verlang</w:t>
      </w:r>
      <w:r w:rsidR="00150340">
        <w:t>t</w:t>
      </w:r>
      <w:r w:rsidRPr="00EA1404">
        <w:t xml:space="preserve">. Wird diese Quote von Studierenden in einem Modul nicht erfüllt, so haben sie die Möglichkeiten, Ersatzleistungen zu erfüllen. </w:t>
      </w:r>
      <w:r w:rsidR="008F12F2">
        <w:t xml:space="preserve">Bei </w:t>
      </w:r>
      <w:r w:rsidRPr="00EA1404">
        <w:t xml:space="preserve">den Ersatzleistungen </w:t>
      </w:r>
      <w:r w:rsidR="008F12F2">
        <w:t xml:space="preserve">handelt es sich </w:t>
      </w:r>
      <w:r w:rsidRPr="00EA1404">
        <w:t xml:space="preserve">beispielsweise um Referate oder mehrseitige Textbeiträge. </w:t>
      </w:r>
      <w:r w:rsidR="008F12F2">
        <w:t xml:space="preserve">Die Studierenden </w:t>
      </w:r>
      <w:r w:rsidRPr="00EA1404">
        <w:t xml:space="preserve">empfinden </w:t>
      </w:r>
      <w:r w:rsidR="008F12F2">
        <w:t>dies</w:t>
      </w:r>
      <w:r w:rsidRPr="00EA1404">
        <w:t xml:space="preserve"> als angemessen. </w:t>
      </w:r>
      <w:r w:rsidR="009E360E">
        <w:t xml:space="preserve">Sie schätzen, dass der </w:t>
      </w:r>
      <w:r w:rsidR="009E360E" w:rsidRPr="00B317B6">
        <w:t>Studiengang einen klaren Ablauf vorsieht</w:t>
      </w:r>
      <w:r w:rsidR="009E360E">
        <w:t xml:space="preserve">, </w:t>
      </w:r>
      <w:r w:rsidR="009E360E" w:rsidRPr="00D62DB3">
        <w:t xml:space="preserve">Prüfungsterminen </w:t>
      </w:r>
      <w:r w:rsidR="009E360E">
        <w:t xml:space="preserve">werden früh bekannt gegeben, die </w:t>
      </w:r>
      <w:r w:rsidR="009E360E" w:rsidRPr="00D62DB3">
        <w:t>Bewertungskriterien</w:t>
      </w:r>
      <w:r w:rsidR="009E360E">
        <w:t xml:space="preserve"> </w:t>
      </w:r>
      <w:r w:rsidR="00150340">
        <w:t xml:space="preserve">für Prüfungen </w:t>
      </w:r>
      <w:r w:rsidR="009E360E">
        <w:t>sind klar und transparent</w:t>
      </w:r>
      <w:r w:rsidR="009E360E" w:rsidRPr="00D62DB3">
        <w:t xml:space="preserve">. </w:t>
      </w:r>
      <w:r w:rsidR="009E360E">
        <w:t>Besonders hervorgehoben wird die</w:t>
      </w:r>
      <w:r w:rsidR="009E360E" w:rsidRPr="00EA1404">
        <w:t xml:space="preserve"> sehr gute Betreuungssituation an der Hochschule und die vielf</w:t>
      </w:r>
      <w:r w:rsidR="00150340">
        <w:t xml:space="preserve">ältigen </w:t>
      </w:r>
      <w:r w:rsidR="009E360E" w:rsidRPr="00EA1404">
        <w:t>Unterstützungsleistungen der Lehrenden. Alle Lehrenden sind „auf dem kurzen Weg“ erreichbar.</w:t>
      </w:r>
      <w:r w:rsidR="009E360E">
        <w:t xml:space="preserve"> Die Kohorten sind über den Studiengang hinweg gleich zusammengesetzt, persönliche Anliegen werden direkt besprochen und geklärt. Durch die vielen Lehr</w:t>
      </w:r>
      <w:r w:rsidR="00150340">
        <w:t xml:space="preserve">beauftragten </w:t>
      </w:r>
      <w:r w:rsidR="009E360E">
        <w:t xml:space="preserve">aus der Praxis besteht ein sehr enger Praxisbezug. </w:t>
      </w:r>
    </w:p>
    <w:p w14:paraId="4503066B" w14:textId="51D52829" w:rsidR="009E360E" w:rsidRPr="00B317B6" w:rsidRDefault="009E360E" w:rsidP="009E360E">
      <w:r w:rsidRPr="00B317B6">
        <w:lastRenderedPageBreak/>
        <w:t xml:space="preserve">Die Arbeitsbelastung ist zwar hoch, aber nach Einschätzung der Studierenden adäquat für einen Masterstudiengang. Auch die Evaluationsergebnisse zur studentischen Arbeitsbelastung (die für einige Module vorliegen) bestätigen dies. Eine Berufstätigkeit ist laut </w:t>
      </w:r>
      <w:r w:rsidR="00150340">
        <w:t xml:space="preserve">den befragten </w:t>
      </w:r>
      <w:r w:rsidRPr="00B317B6">
        <w:t>Studierende</w:t>
      </w:r>
      <w:r w:rsidR="00150340">
        <w:t>n</w:t>
      </w:r>
      <w:r w:rsidRPr="00B317B6">
        <w:t xml:space="preserve"> in geringem Umfang neben dem Studium möglich. Die Hochschule kommt den Studierenden insofern entgegen, indem sie einen veranstaltungsfreien Tag in der Woche geschaffen hat. </w:t>
      </w:r>
      <w:r w:rsidR="00150340">
        <w:t>Dies wird von den Gutachter:innen begrüßt.</w:t>
      </w:r>
    </w:p>
    <w:p w14:paraId="201A1B94" w14:textId="1AC73E81" w:rsidR="009E360E" w:rsidRDefault="009E360E" w:rsidP="009E360E">
      <w:r w:rsidRPr="00B317B6">
        <w:t xml:space="preserve">Die erwarteten Eingangsqualifikationen im Studiengang werden aus Sicht der </w:t>
      </w:r>
      <w:r>
        <w:t>Gutachter:innen</w:t>
      </w:r>
      <w:r w:rsidRPr="00B317B6">
        <w:t xml:space="preserve"> durch das Aufnahmeverfahren hinreichend berücksichtigt. Der Workload und die Prüfungsdichte werden seitens der Gutachte</w:t>
      </w:r>
      <w:r w:rsidR="005D7E80">
        <w:t xml:space="preserve">r:innen </w:t>
      </w:r>
      <w:r w:rsidRPr="00B317B6">
        <w:t xml:space="preserve">als angemessen gewertet. Fachliche und überfachliche Studienberatung findet statt. Die Studierenden bestätigen eine gute Erreichbarkeit der Lehrenden, auch außerhalb der Präsenzzeiten. Die Belange von Studierenden mit Behinderung werden berücksichtigt. </w:t>
      </w:r>
    </w:p>
    <w:p w14:paraId="4D3CE3DC" w14:textId="0773654C" w:rsidR="00D62DB3" w:rsidRPr="00EA1404" w:rsidRDefault="00D62DB3" w:rsidP="00EA1404">
      <w:r w:rsidRPr="00EA1404">
        <w:t xml:space="preserve">Nach Einschätzung der Gutachter:innen organisiert die </w:t>
      </w:r>
      <w:r w:rsidR="00EA1404" w:rsidRPr="00EA1404">
        <w:t>MSH</w:t>
      </w:r>
      <w:r w:rsidRPr="00EA1404">
        <w:t xml:space="preserve"> einen planbaren und verlässlichen Studienbetrieb. Ebenso gewährleistet die Hochschule die weitgehende Überschneidungsfreiheit von Lehrveranstaltungen und Prüfungen. Der im Modulhandbuch abgebildete Workload erscheint den Gutachter:innen plausibel und im Verhältnis zu den beschriebenen Lerninhalten und Qualifikationszielen angemessen. Die vorgesehenen Prüfungen </w:t>
      </w:r>
      <w:r w:rsidR="009E360E">
        <w:t>sind</w:t>
      </w:r>
      <w:r w:rsidRPr="00EA1404">
        <w:t xml:space="preserve"> adäquat und belastungsangemessen. </w:t>
      </w:r>
    </w:p>
    <w:p w14:paraId="4594912D" w14:textId="77777777" w:rsidR="00F723CB" w:rsidRPr="00457100" w:rsidRDefault="00F723CB" w:rsidP="007244DF">
      <w:pPr>
        <w:rPr>
          <w:rFonts w:cs="Arial"/>
          <w:color w:val="A71930"/>
          <w:szCs w:val="22"/>
        </w:rPr>
      </w:pPr>
      <w:r w:rsidRPr="00457100">
        <w:rPr>
          <w:rFonts w:cs="Arial"/>
          <w:b/>
          <w:color w:val="A71930"/>
          <w:szCs w:val="22"/>
        </w:rPr>
        <w:t>Entscheidungsvorschla</w:t>
      </w:r>
      <w:r>
        <w:rPr>
          <w:rFonts w:cs="Arial"/>
          <w:b/>
          <w:color w:val="A71930"/>
          <w:szCs w:val="22"/>
        </w:rPr>
        <w:t>g</w:t>
      </w:r>
    </w:p>
    <w:p w14:paraId="51CDE5B1" w14:textId="6EF48C1A" w:rsidR="00F723CB" w:rsidRDefault="000E2809" w:rsidP="009E360E">
      <w:pPr>
        <w:spacing w:before="0" w:after="120" w:line="240" w:lineRule="auto"/>
        <w:rPr>
          <w:rFonts w:cs="Arial"/>
          <w:i/>
          <w:szCs w:val="22"/>
        </w:rPr>
      </w:pPr>
      <w:r>
        <w:rPr>
          <w:rFonts w:cs="Arial"/>
          <w:szCs w:val="22"/>
        </w:rPr>
        <w:t>Das Kriterium ist e</w:t>
      </w:r>
      <w:r w:rsidRPr="00FD370C">
        <w:rPr>
          <w:rFonts w:cs="Arial"/>
          <w:szCs w:val="22"/>
        </w:rPr>
        <w:t>rfüllt</w:t>
      </w:r>
      <w:r>
        <w:rPr>
          <w:rFonts w:cs="Arial"/>
          <w:szCs w:val="22"/>
        </w:rPr>
        <w:t xml:space="preserve">. </w:t>
      </w:r>
    </w:p>
    <w:p w14:paraId="75713AE5" w14:textId="77777777" w:rsidR="004A12CD" w:rsidRPr="00FD370C" w:rsidRDefault="004A12CD" w:rsidP="00CF5A62">
      <w:pPr>
        <w:spacing w:before="0" w:after="120" w:line="240" w:lineRule="auto"/>
        <w:rPr>
          <w:rFonts w:cs="Arial"/>
          <w:szCs w:val="22"/>
        </w:rPr>
      </w:pPr>
    </w:p>
    <w:p w14:paraId="7CCB6E22" w14:textId="714225BF" w:rsidR="006A3065" w:rsidRDefault="00225F95" w:rsidP="000E504B">
      <w:pPr>
        <w:pStyle w:val="berschrift3"/>
        <w:numPr>
          <w:ilvl w:val="0"/>
          <w:numId w:val="0"/>
        </w:numPr>
        <w:spacing w:before="0" w:after="120" w:line="240" w:lineRule="auto"/>
        <w:ind w:left="567" w:hanging="567"/>
      </w:pPr>
      <w:bookmarkStart w:id="67" w:name="_(Wenn_einschlägig)_Besonderer"/>
      <w:bookmarkStart w:id="68" w:name="_Fachlich-Inhaltliche_Gestaltung_der"/>
      <w:bookmarkStart w:id="69" w:name="_Toc141346984"/>
      <w:bookmarkEnd w:id="67"/>
      <w:bookmarkEnd w:id="68"/>
      <w:r w:rsidRPr="00457100">
        <w:t>Fachlich-Inhaltliche Gestaltung der Studiengänge</w:t>
      </w:r>
      <w:r w:rsidR="006E5F14" w:rsidRPr="00457100">
        <w:t xml:space="preserve"> (§ 13 MRVO)</w:t>
      </w:r>
      <w:bookmarkEnd w:id="69"/>
    </w:p>
    <w:p w14:paraId="5E420C69" w14:textId="0425DC8A" w:rsidR="00E746E1" w:rsidRPr="00516397" w:rsidRDefault="00E746E1" w:rsidP="007244DF">
      <w:pPr>
        <w:pStyle w:val="berschrift4"/>
        <w:spacing w:before="0"/>
      </w:pPr>
      <w:bookmarkStart w:id="70" w:name="_Qualifikationsziele"/>
      <w:bookmarkStart w:id="71" w:name="_Aktualität_der_fachlichen"/>
      <w:bookmarkStart w:id="72" w:name="_Toc141346985"/>
      <w:bookmarkEnd w:id="70"/>
      <w:bookmarkEnd w:id="71"/>
      <w:r w:rsidRPr="009A25F5">
        <w:t>Aktualität der fachlichen und wissenschaftlichen Anforderungen</w:t>
      </w:r>
      <w:r w:rsidR="00D1447E">
        <w:t xml:space="preserve"> </w:t>
      </w:r>
      <w:hyperlink w:anchor="Gestaltung13_1" w:history="1">
        <w:r w:rsidR="00D1447E" w:rsidRPr="00C17FA1">
          <w:rPr>
            <w:rStyle w:val="Hyperlink"/>
          </w:rPr>
          <w:t>(</w:t>
        </w:r>
        <w:r w:rsidR="00D1447E" w:rsidRPr="00C17FA1">
          <w:rPr>
            <w:rStyle w:val="Hyperlink"/>
            <w:rFonts w:cs="Arial"/>
          </w:rPr>
          <w:t>§ 13 Abs. 1 MRVO)</w:t>
        </w:r>
        <w:bookmarkEnd w:id="72"/>
      </w:hyperlink>
    </w:p>
    <w:p w14:paraId="157BEA24" w14:textId="31B01BFD" w:rsidR="00F723CB" w:rsidRDefault="003336AB" w:rsidP="007244DF">
      <w:pPr>
        <w:rPr>
          <w:rFonts w:cs="Arial"/>
          <w:b/>
          <w:color w:val="A71930"/>
          <w:szCs w:val="22"/>
        </w:rPr>
      </w:pPr>
      <w:r>
        <w:rPr>
          <w:rFonts w:cs="Arial"/>
          <w:b/>
          <w:color w:val="A71930"/>
          <w:szCs w:val="22"/>
        </w:rPr>
        <w:t>Sachstand</w:t>
      </w:r>
    </w:p>
    <w:p w14:paraId="628106E2" w14:textId="4CB697FA" w:rsidR="000A0240" w:rsidRDefault="00202B2D" w:rsidP="00ED4401">
      <w:bookmarkStart w:id="73" w:name="_Hlk35861656"/>
      <w:r>
        <w:t xml:space="preserve">Mit folgenden prozessualen Schritten sichert die Hochschule nach ihren Angaben die Aktualität und Adäquanz der fachlichen und wissenschaftlichen Anforderungen im Studiengang sowie der didaktischen Weiterentwicklung: </w:t>
      </w:r>
      <w:r w:rsidR="00212285">
        <w:t xml:space="preserve">Unter anderem gibt es hierfür einen </w:t>
      </w:r>
      <w:r w:rsidR="000A0240">
        <w:t xml:space="preserve">institutionalisierten Austausch zwischen allen </w:t>
      </w:r>
      <w:r w:rsidR="00123534">
        <w:t>hauptamtlich</w:t>
      </w:r>
      <w:r w:rsidR="00BC28D4">
        <w:t>en</w:t>
      </w:r>
      <w:r w:rsidR="00FD5290">
        <w:t xml:space="preserve"> </w:t>
      </w:r>
      <w:r w:rsidR="000A0240">
        <w:t>Lehrenden im Bereich Klinische Psychologie</w:t>
      </w:r>
      <w:r w:rsidR="00212285">
        <w:t xml:space="preserve"> </w:t>
      </w:r>
      <w:r w:rsidR="000A0240">
        <w:t xml:space="preserve">(umfasst auch Lehrende aus dem Masterstudiengang </w:t>
      </w:r>
      <w:r w:rsidR="00123534">
        <w:t>„</w:t>
      </w:r>
      <w:r w:rsidR="000A0240">
        <w:t xml:space="preserve">Psychologie mit Schwerpunkt Klinische Psychologie und Psychotherapie nach </w:t>
      </w:r>
      <w:r w:rsidR="00AC7EEE" w:rsidRPr="00AC7EEE">
        <w:t>PsychThG 2019</w:t>
      </w:r>
      <w:r w:rsidR="00123534">
        <w:t>“</w:t>
      </w:r>
      <w:r w:rsidR="000A0240">
        <w:t xml:space="preserve">) mit der </w:t>
      </w:r>
      <w:proofErr w:type="spellStart"/>
      <w:r w:rsidR="000A0240">
        <w:t>Departmentleitung</w:t>
      </w:r>
      <w:proofErr w:type="spellEnd"/>
      <w:r w:rsidR="000A0240">
        <w:t xml:space="preserve"> zu aktuellen Themen, Problemen und Fragen in den Studiengängen. Ein eher auf Forschung bezogener kollegialer Austausch geschieht zudem im Forschungsinstitut „Institute for Clinical Psychology and Psychotherapy“. </w:t>
      </w:r>
    </w:p>
    <w:p w14:paraId="0AF2008B" w14:textId="27BEBFA0" w:rsidR="000A0240" w:rsidRDefault="000A0240" w:rsidP="00ED4401">
      <w:r>
        <w:lastRenderedPageBreak/>
        <w:t>Änderungen und Anpassungen der Modulbeschreibungen in den Modulhandbüchern, Anpassung von Studienabläufen, Aktualisierungen der Literatur, Implementierung von interdisziplinären, interprofessionellen und forschungsbasierten Lehr- und Lerninhalten</w:t>
      </w:r>
      <w:r w:rsidR="00BC28D4">
        <w:t xml:space="preserve">, </w:t>
      </w:r>
      <w:r>
        <w:t xml:space="preserve">Lehr- und Lernmethoden sowie wissenschaftliche und gesellschaftsrelevante Aktualisierungen werden durch die </w:t>
      </w:r>
      <w:proofErr w:type="spellStart"/>
      <w:r>
        <w:t>Fachvertreter:innen</w:t>
      </w:r>
      <w:proofErr w:type="spellEnd"/>
      <w:r>
        <w:t xml:space="preserve"> (Professor:innen) und Lehrenden der Module gemäß Vorgaben erarbeitet, innerhalb der Fakultät und des Departments abgestimmt und durch die </w:t>
      </w:r>
      <w:proofErr w:type="spellStart"/>
      <w:r>
        <w:t>Dekan:innen</w:t>
      </w:r>
      <w:proofErr w:type="spellEnd"/>
      <w:r>
        <w:t xml:space="preserve"> und </w:t>
      </w:r>
      <w:proofErr w:type="spellStart"/>
      <w:r>
        <w:t>Departmentleiter:innen</w:t>
      </w:r>
      <w:proofErr w:type="spellEnd"/>
      <w:r>
        <w:t xml:space="preserve"> an die Leitung Akkreditierungsmanagement bis 30.</w:t>
      </w:r>
      <w:r w:rsidR="00BC28D4">
        <w:t xml:space="preserve"> Juli </w:t>
      </w:r>
      <w:r>
        <w:t xml:space="preserve">eines jeden Jahres schriftlich übermittelt. </w:t>
      </w:r>
    </w:p>
    <w:p w14:paraId="24AA9B34" w14:textId="79728216" w:rsidR="004A12CD" w:rsidRPr="00CF5A62" w:rsidRDefault="000A0240" w:rsidP="00ED4401">
      <w:pPr>
        <w:rPr>
          <w:bCs/>
        </w:rPr>
      </w:pPr>
      <w:r>
        <w:t xml:space="preserve">Alle Module mit Bezug zur psychotherapeutischen Praxis werden von Professor:innen unterrichtet, die </w:t>
      </w:r>
      <w:r w:rsidR="00BC28D4">
        <w:t xml:space="preserve">als </w:t>
      </w:r>
      <w:r>
        <w:t xml:space="preserve">approbierte </w:t>
      </w:r>
      <w:proofErr w:type="spellStart"/>
      <w:r>
        <w:t>Psychotherapeut:innen</w:t>
      </w:r>
      <w:proofErr w:type="spellEnd"/>
      <w:r>
        <w:t xml:space="preserve"> </w:t>
      </w:r>
      <w:r w:rsidR="00BC28D4">
        <w:t>berufs</w:t>
      </w:r>
      <w:r>
        <w:t>tätig</w:t>
      </w:r>
      <w:r w:rsidR="00FE231F">
        <w:t xml:space="preserve"> sind</w:t>
      </w:r>
      <w:r>
        <w:t>. Sie kennen daher aktuelle Debatten und Erkenntnisse aus dem praktischen Kontext. Ebenso sind die Lehrenden durch Mitgliedschaften in diversen Berufsverbänden über fachliche Diskurse informiert</w:t>
      </w:r>
      <w:r w:rsidR="00BC28D4">
        <w:t>.</w:t>
      </w:r>
      <w:r>
        <w:t xml:space="preserve"> </w:t>
      </w:r>
    </w:p>
    <w:bookmarkEnd w:id="73"/>
    <w:p w14:paraId="4DD213CF" w14:textId="23AB19F7" w:rsidR="00F723CB" w:rsidRDefault="00F723CB" w:rsidP="007244DF">
      <w:pPr>
        <w:rPr>
          <w:rFonts w:cs="Arial"/>
          <w:i/>
          <w:szCs w:val="22"/>
        </w:rPr>
      </w:pPr>
      <w:r w:rsidRPr="00457100">
        <w:rPr>
          <w:rFonts w:cs="Arial"/>
          <w:b/>
          <w:color w:val="A71930"/>
          <w:szCs w:val="22"/>
        </w:rPr>
        <w:t>Bewertung: Stärken und Entwicklungsbedarf</w:t>
      </w:r>
      <w:r>
        <w:rPr>
          <w:rFonts w:cs="Arial"/>
          <w:b/>
          <w:color w:val="A71930"/>
          <w:szCs w:val="22"/>
        </w:rPr>
        <w:t xml:space="preserve"> </w:t>
      </w:r>
    </w:p>
    <w:p w14:paraId="5B7A93D0" w14:textId="782E4B1D" w:rsidR="00D62DB3" w:rsidRPr="00C40FB9" w:rsidRDefault="00D62DB3" w:rsidP="00ED4401">
      <w:r>
        <w:t xml:space="preserve">Zur Aktualisierung der Modulhandbücher legt die Hochschule </w:t>
      </w:r>
      <w:r w:rsidR="00ED4401">
        <w:t xml:space="preserve">vor Ort </w:t>
      </w:r>
      <w:r>
        <w:t>dar, dass die Aktualität der Inhalte kontinuierlich geprüft werde und Überarbeitungen jährlich in Kraft treten. Größere Veränderungen werden im Akkreditierungszeitraum vorbereitet und</w:t>
      </w:r>
      <w:r w:rsidR="00BC28D4">
        <w:t xml:space="preserve"> im Rahmen der </w:t>
      </w:r>
      <w:r>
        <w:t xml:space="preserve">Reakkreditierung umgesetzt. </w:t>
      </w:r>
      <w:r w:rsidR="00ED4401">
        <w:t xml:space="preserve">Veränderungen werden in den </w:t>
      </w:r>
      <w:proofErr w:type="spellStart"/>
      <w:r w:rsidR="00ED4401">
        <w:t>Departmentsitzungen</w:t>
      </w:r>
      <w:proofErr w:type="spellEnd"/>
      <w:r w:rsidR="00ED4401">
        <w:t xml:space="preserve"> diskutiert. Die Gutachter:innen gewinnen bei den Gesprächen vor Ort den Eindruck von einem sehr engagierten Team von Lehrenden, d</w:t>
      </w:r>
      <w:r w:rsidR="00BC28D4">
        <w:t xml:space="preserve">as </w:t>
      </w:r>
      <w:r w:rsidR="00ED4401">
        <w:t xml:space="preserve"> sich mit der Hochschule und dem Studiengang identifizier</w:t>
      </w:r>
      <w:r w:rsidR="00BC28D4">
        <w:t>t</w:t>
      </w:r>
      <w:r w:rsidR="00ED4401">
        <w:t xml:space="preserve">, gleichzeitig aber auch offen </w:t>
      </w:r>
      <w:r w:rsidR="00BC28D4">
        <w:t xml:space="preserve">ist </w:t>
      </w:r>
      <w:r w:rsidR="00ED4401">
        <w:t>für Veränderungen und  Weiterentwicklung</w:t>
      </w:r>
      <w:r w:rsidR="00BC28D4">
        <w:t>en</w:t>
      </w:r>
      <w:r w:rsidR="00ED4401">
        <w:t xml:space="preserve"> des Studiengangskonzeptes. </w:t>
      </w:r>
    </w:p>
    <w:p w14:paraId="0F4ED6E7" w14:textId="77777777" w:rsidR="00F723CB" w:rsidRPr="00457100" w:rsidRDefault="00F723CB" w:rsidP="003501A1">
      <w:pPr>
        <w:pStyle w:val="Titel"/>
      </w:pPr>
      <w:r w:rsidRPr="00457100">
        <w:t>Entscheidungsvorschla</w:t>
      </w:r>
      <w:r>
        <w:t>g</w:t>
      </w:r>
    </w:p>
    <w:p w14:paraId="45BF676B" w14:textId="04E64E80" w:rsidR="00F723CB" w:rsidRDefault="000E2809" w:rsidP="00ED4401">
      <w:pPr>
        <w:spacing w:before="0" w:after="120" w:line="240" w:lineRule="auto"/>
        <w:rPr>
          <w:rFonts w:cs="Arial"/>
          <w:i/>
          <w:szCs w:val="22"/>
        </w:rPr>
      </w:pPr>
      <w:r>
        <w:rPr>
          <w:rFonts w:cs="Arial"/>
          <w:szCs w:val="22"/>
        </w:rPr>
        <w:t xml:space="preserve">Das Kriterium ist </w:t>
      </w:r>
      <w:r w:rsidR="00ED4401">
        <w:rPr>
          <w:rFonts w:cs="Arial"/>
          <w:bCs/>
        </w:rPr>
        <w:t>erfüllt.</w:t>
      </w:r>
    </w:p>
    <w:p w14:paraId="79DEA7D0" w14:textId="77777777" w:rsidR="003916CD" w:rsidRPr="004A12CD" w:rsidRDefault="003916CD" w:rsidP="007244DF">
      <w:pPr>
        <w:spacing w:before="0" w:after="120" w:line="240" w:lineRule="auto"/>
        <w:rPr>
          <w:rFonts w:cs="Arial"/>
          <w:szCs w:val="22"/>
        </w:rPr>
      </w:pPr>
      <w:bookmarkStart w:id="74" w:name="_(Wenn_einschlägig)_Lehramt"/>
      <w:bookmarkEnd w:id="74"/>
    </w:p>
    <w:p w14:paraId="3C2115FB" w14:textId="1D3C76F7" w:rsidR="00520772" w:rsidRPr="00457100" w:rsidRDefault="00520772" w:rsidP="007244DF">
      <w:pPr>
        <w:pStyle w:val="berschrift3"/>
        <w:numPr>
          <w:ilvl w:val="0"/>
          <w:numId w:val="0"/>
        </w:numPr>
        <w:spacing w:before="0"/>
        <w:ind w:left="567" w:hanging="567"/>
      </w:pPr>
      <w:bookmarkStart w:id="75" w:name="_Studienerfolg_(§_14"/>
      <w:bookmarkStart w:id="76" w:name="_Toc141346986"/>
      <w:bookmarkEnd w:id="75"/>
      <w:r w:rsidRPr="00457100">
        <w:t>Studienerfolg</w:t>
      </w:r>
      <w:r w:rsidR="00F9140D" w:rsidRPr="00457100">
        <w:t xml:space="preserve"> </w:t>
      </w:r>
      <w:hyperlink w:anchor="Studienerfolg" w:history="1">
        <w:r w:rsidR="00F9140D" w:rsidRPr="00C17FA1">
          <w:rPr>
            <w:rStyle w:val="Hyperlink"/>
            <w:rFonts w:cs="Arial"/>
          </w:rPr>
          <w:t>(§ 14 MRVO)</w:t>
        </w:r>
        <w:bookmarkEnd w:id="76"/>
      </w:hyperlink>
      <w:r w:rsidR="00D1447E" w:rsidRPr="00D1447E">
        <w:t xml:space="preserve"> </w:t>
      </w:r>
    </w:p>
    <w:p w14:paraId="3985DBFB" w14:textId="0004384F" w:rsidR="00F723CB" w:rsidRDefault="003336AB" w:rsidP="007244DF">
      <w:pPr>
        <w:rPr>
          <w:rFonts w:cs="Arial"/>
          <w:b/>
          <w:color w:val="A71930"/>
          <w:szCs w:val="22"/>
        </w:rPr>
      </w:pPr>
      <w:r>
        <w:rPr>
          <w:rFonts w:cs="Arial"/>
          <w:b/>
          <w:color w:val="A71930"/>
          <w:szCs w:val="22"/>
        </w:rPr>
        <w:t>Sachstand</w:t>
      </w:r>
    </w:p>
    <w:p w14:paraId="47A35511" w14:textId="5F8EF291" w:rsidR="00351C3A" w:rsidRDefault="00351C3A" w:rsidP="00351C3A">
      <w:bookmarkStart w:id="77" w:name="_Hlk35861691"/>
      <w:r>
        <w:t xml:space="preserve">Das Qualitätsmanagementsystem der MSH orientiert an dem Modell der </w:t>
      </w:r>
      <w:r w:rsidRPr="00351C3A">
        <w:t>European Foundation for Quality Management</w:t>
      </w:r>
      <w:r>
        <w:t xml:space="preserve"> (EFQM-Modell), </w:t>
      </w:r>
      <w:r w:rsidR="00FE231F">
        <w:t xml:space="preserve">das </w:t>
      </w:r>
      <w:r>
        <w:t xml:space="preserve">die Entwicklung aller steuernden Systeme in allen wichtigen Leistungsprozessen und allen wesentlichen Qualitätsdimensionen umfasst. Das Qualitätsmanagementsystem ist im Qualitätsmanagementkonzept beschrieben und wird in der Ordnung für das Qualitätsmanagement geregelt. Das Rektorat trägt die Gesamtverantwortung für das Qualitätsmanagement und für die Durchführung und Weiterentwicklung der </w:t>
      </w:r>
      <w:r w:rsidR="00BD249F">
        <w:t>Qualitätssicherung</w:t>
      </w:r>
      <w:r w:rsidR="00680DD8" w:rsidRPr="00680DD8">
        <w:t xml:space="preserve"> und -entwicklung (QSE-Verfahren) </w:t>
      </w:r>
      <w:r>
        <w:t xml:space="preserve">auf Hochschulebene. Die Zuständigkeit innerhalb des Rektorats liegt bei dem:der Prorektor:in </w:t>
      </w:r>
      <w:r w:rsidR="00B54E8B">
        <w:t xml:space="preserve">für </w:t>
      </w:r>
      <w:r>
        <w:t xml:space="preserve">Studium und Lehre und dem:der Prorektor:in </w:t>
      </w:r>
      <w:r w:rsidR="00B54E8B">
        <w:t xml:space="preserve">für </w:t>
      </w:r>
      <w:r>
        <w:t>Forschung und der Leitung des Akkreditierungsmanagements.</w:t>
      </w:r>
    </w:p>
    <w:p w14:paraId="6E05D121" w14:textId="2F8D2ADD" w:rsidR="00680DD8" w:rsidRDefault="00351C3A" w:rsidP="00047E37">
      <w:r>
        <w:lastRenderedPageBreak/>
        <w:t xml:space="preserve">Die operative Umsetzung erfolgt in den Fakultäten und ihren Departments. Die </w:t>
      </w:r>
      <w:proofErr w:type="spellStart"/>
      <w:r>
        <w:t>Dekan:innen</w:t>
      </w:r>
      <w:proofErr w:type="spellEnd"/>
      <w:r>
        <w:t xml:space="preserve"> und </w:t>
      </w:r>
      <w:proofErr w:type="spellStart"/>
      <w:r>
        <w:t>Departmentleitungen</w:t>
      </w:r>
      <w:proofErr w:type="spellEnd"/>
      <w:r>
        <w:t xml:space="preserve"> verantworten die Qualität der Lehre in den jeweiligen Fakultäten und Studiengängen. </w:t>
      </w:r>
      <w:r w:rsidR="00680DD8" w:rsidRPr="00680DD8">
        <w:t>Grundlegend ist ein hochschulweites gemeinsames Verständnis guter Lehre sowie das Leitbild für Studium und Lehre.</w:t>
      </w:r>
    </w:p>
    <w:bookmarkEnd w:id="77"/>
    <w:p w14:paraId="4948B30F" w14:textId="3518B4CD" w:rsidR="00047E37" w:rsidRPr="00047E37" w:rsidRDefault="00680DD8" w:rsidP="00047E37">
      <w:r w:rsidRPr="00047E37">
        <w:t xml:space="preserve">Evaluationen </w:t>
      </w:r>
      <w:r w:rsidR="00047E37" w:rsidRPr="00047E37">
        <w:t xml:space="preserve">werden </w:t>
      </w:r>
      <w:r w:rsidRPr="00047E37">
        <w:t xml:space="preserve">in definierten Zeiträumen auf verschiedenen Ebenen (Lehrveranstaltung, Studiengang, Fakultät, Hochschule) </w:t>
      </w:r>
      <w:r w:rsidR="00047E37">
        <w:t>durchgeführt</w:t>
      </w:r>
      <w:r w:rsidR="00757192">
        <w:t>. Sie</w:t>
      </w:r>
      <w:r w:rsidRPr="00047E37">
        <w:t xml:space="preserve"> orientieren sich am Student-Life-Cycle, sodass alle Phasen des Studiums (Studieneingang, Studienverlauf, Studienabschluss) betrachtet werden. Dazu finden jedes Semester einheitliche, hochschulweite Befragungen der Erstsemester, Studierenden und Absolvierenden statt. Die Ergebnisse werden jährlich für jeden Studiengang in einem Evaluationsbericht </w:t>
      </w:r>
      <w:r w:rsidR="00047E37">
        <w:t>zusammengefasst</w:t>
      </w:r>
      <w:r w:rsidRPr="00047E37">
        <w:t xml:space="preserve">. Angaben zu den aus den Evaluationsergebnissen abgeleiteten Maßnahmen zur Verbesserung und Entwicklung des Studiengangs </w:t>
      </w:r>
      <w:r w:rsidR="00047E37" w:rsidRPr="00047E37">
        <w:t>werden in der</w:t>
      </w:r>
      <w:r w:rsidRPr="00047E37">
        <w:t xml:space="preserve"> Wirksamkeitstabelle im Evaluationsbericht </w:t>
      </w:r>
      <w:r w:rsidR="00047E37" w:rsidRPr="00047E37">
        <w:t>dokumentiert</w:t>
      </w:r>
      <w:r w:rsidRPr="00047E37">
        <w:t xml:space="preserve">. </w:t>
      </w:r>
      <w:r w:rsidR="00047E37" w:rsidRPr="00047E37">
        <w:t>Gemeinsam</w:t>
      </w:r>
      <w:r w:rsidR="00757192">
        <w:t>,</w:t>
      </w:r>
      <w:r w:rsidR="00047E37" w:rsidRPr="00047E37">
        <w:t xml:space="preserve"> unter Einbeziehung der Lehrenden und Studierenden des Studiengangs</w:t>
      </w:r>
      <w:r w:rsidR="00757192">
        <w:t>,</w:t>
      </w:r>
      <w:r w:rsidR="00047E37" w:rsidRPr="00047E37">
        <w:t xml:space="preserve"> werden</w:t>
      </w:r>
      <w:r w:rsidR="00047E37">
        <w:rPr>
          <w:sz w:val="21"/>
          <w:szCs w:val="21"/>
        </w:rPr>
        <w:t xml:space="preserve"> </w:t>
      </w:r>
      <w:r w:rsidR="00047E37" w:rsidRPr="00047E37">
        <w:t xml:space="preserve">von den </w:t>
      </w:r>
      <w:proofErr w:type="spellStart"/>
      <w:r w:rsidR="00047E37" w:rsidRPr="00047E37">
        <w:t>Departmentleiter:innen</w:t>
      </w:r>
      <w:proofErr w:type="spellEnd"/>
      <w:r w:rsidR="00047E37" w:rsidRPr="00047E37">
        <w:t xml:space="preserve"> Maßnahmen und entsprechende Verantwortlichkeiten zur Beseitigung der Qualitätsdefizite festgelegt und in der Wirksamkeitstabelle dokumentiert</w:t>
      </w:r>
      <w:r w:rsidR="00757192">
        <w:t xml:space="preserve">. Sie werden </w:t>
      </w:r>
      <w:r w:rsidR="00047E37" w:rsidRPr="00047E37">
        <w:t xml:space="preserve">entsprechend umgesetzt und im nächsten Bericht nachgehalten. </w:t>
      </w:r>
      <w:r w:rsidR="00FD5290">
        <w:t xml:space="preserve">Der aktuelle Evaluationsbericht liegt vor. </w:t>
      </w:r>
    </w:p>
    <w:p w14:paraId="107F4EC4" w14:textId="29802C99" w:rsidR="00680DD8" w:rsidRDefault="00680DD8" w:rsidP="00047E37">
      <w:r>
        <w:t>Ergänzen</w:t>
      </w:r>
      <w:r w:rsidR="00047E37">
        <w:t>d wird ein</w:t>
      </w:r>
      <w:r>
        <w:t xml:space="preserve"> dialogische</w:t>
      </w:r>
      <w:r w:rsidR="00047E37">
        <w:t>s</w:t>
      </w:r>
      <w:r>
        <w:t xml:space="preserve"> Verfahren der formativen Evaluation durchgeführt. Bei dem </w:t>
      </w:r>
      <w:r w:rsidR="00BD249F">
        <w:t>Verfahren</w:t>
      </w:r>
      <w:r>
        <w:t xml:space="preserve"> holen sich die Lehrenden in der Lehrveranstaltung Feedback von den Studierenden ein und geben den </w:t>
      </w:r>
      <w:r w:rsidR="00BD249F">
        <w:t>Studierenden</w:t>
      </w:r>
      <w:r>
        <w:t xml:space="preserve"> Feedback, um die Qualität der Lehr-/Lernveranstaltung zu erfassen und daraus mögliche Verbesserungen abzuleiten. </w:t>
      </w:r>
      <w:r w:rsidR="00BD249F">
        <w:t>Ebenso</w:t>
      </w:r>
      <w:r>
        <w:t xml:space="preserve"> soll die Evaluation der Module als Feedback der </w:t>
      </w:r>
      <w:r w:rsidR="00BD249F">
        <w:t>Studierenden</w:t>
      </w:r>
      <w:r>
        <w:t xml:space="preserve"> zur Lehre und den Modulen/Lehrveranstaltungen dienen und den Lehrenden des Moduls, den </w:t>
      </w:r>
      <w:proofErr w:type="spellStart"/>
      <w:r>
        <w:t>Departmentleiter:innen</w:t>
      </w:r>
      <w:proofErr w:type="spellEnd"/>
      <w:r>
        <w:t xml:space="preserve"> sowie den </w:t>
      </w:r>
      <w:proofErr w:type="spellStart"/>
      <w:r>
        <w:t>Dekan:innen</w:t>
      </w:r>
      <w:proofErr w:type="spellEnd"/>
      <w:r>
        <w:t xml:space="preserve"> ermöglichen, das Feedback zu nutzen, Module sowie ggf. einzelne Lehrveranstaltungen anzupassen und Verbesserungsmaßnahmen einzuleiten. </w:t>
      </w:r>
      <w:r w:rsidRPr="00080BB7">
        <w:t xml:space="preserve">Dazu erhalten die </w:t>
      </w:r>
      <w:proofErr w:type="spellStart"/>
      <w:r w:rsidRPr="00080BB7">
        <w:t>Departmentleiter:innen</w:t>
      </w:r>
      <w:proofErr w:type="spellEnd"/>
      <w:r w:rsidRPr="00080BB7">
        <w:t xml:space="preserve"> für alle Studiengänge des Departements und die </w:t>
      </w:r>
      <w:proofErr w:type="spellStart"/>
      <w:r w:rsidRPr="00080BB7">
        <w:t>Dekan:innen</w:t>
      </w:r>
      <w:proofErr w:type="spellEnd"/>
      <w:r w:rsidRPr="00080BB7">
        <w:t xml:space="preserve"> für alle Studiengänge einer Fakultät einen Auswertungsbericht.</w:t>
      </w:r>
      <w:r>
        <w:t xml:space="preserve"> </w:t>
      </w:r>
    </w:p>
    <w:p w14:paraId="745B6A70" w14:textId="1D49F170" w:rsidR="006E7118" w:rsidRDefault="006E7118" w:rsidP="006E7118">
      <w:r>
        <w:t>Weitere Maßnahmen zur Qualitätssicherung sind unter anderem hochschuldidaktische Fortbildungen, die allen Lehrenden der Hochschule</w:t>
      </w:r>
      <w:r w:rsidR="004D6661">
        <w:t>,</w:t>
      </w:r>
      <w:r>
        <w:t xml:space="preserve"> unabhängig von Qualifikationsniveaus</w:t>
      </w:r>
      <w:r w:rsidR="004D6661">
        <w:t>,</w:t>
      </w:r>
      <w:r>
        <w:t xml:space="preserve"> offen stehen oder verschiedene Leitfäden, Richtlinien und u.a. </w:t>
      </w:r>
      <w:r w:rsidR="004D6661">
        <w:t xml:space="preserve">mittels </w:t>
      </w:r>
      <w:r>
        <w:t>Dokumente</w:t>
      </w:r>
      <w:r w:rsidR="004D6661">
        <w:t>n</w:t>
      </w:r>
      <w:r>
        <w:t xml:space="preserve"> aus dem Bereich Studium und Lehre im Intranet TraiNex zur Verfügung gestellt werden. </w:t>
      </w:r>
    </w:p>
    <w:p w14:paraId="3A1593BB" w14:textId="146CE8F6" w:rsidR="00BE2B5B" w:rsidRDefault="00BE2B5B" w:rsidP="00BE2B5B">
      <w:r>
        <w:t>Seit der letzten Akkreditierung des Studiengangs im Jahr 2016 wurden einige Änderungen an der fachlich-inhaltlichen Gestaltung des Masterstudiengangs vorgenommen. So wurde als Maßnahme der Angleichung der Belastung für Studierende an staatlich-universitäre</w:t>
      </w:r>
      <w:r w:rsidR="004D6661">
        <w:t>n</w:t>
      </w:r>
      <w:r>
        <w:t xml:space="preserve"> Strukturen die Vorlesungszeit von 18 auf 15 Wochen reduziert. Einzelne Module wurden in andere Semester </w:t>
      </w:r>
      <w:r>
        <w:lastRenderedPageBreak/>
        <w:t>verschoben, um die Belastung von Studierenden gleichmäßiger über die Dauer des Studiengangs zu verteilen. Die Bewertung schriftlicher Arbeiten, Klausuren und mündliche</w:t>
      </w:r>
      <w:r w:rsidR="00564596">
        <w:t>r</w:t>
      </w:r>
      <w:r>
        <w:t xml:space="preserve"> Prüfungen wurde durch neue Kriterienkataloge vereinheitlic</w:t>
      </w:r>
      <w:r w:rsidRPr="000A2F9F">
        <w:t>ht. Ferner wurden neue Möglichkeiten</w:t>
      </w:r>
      <w:r w:rsidR="004D6661">
        <w:t xml:space="preserve"> geschaffen</w:t>
      </w:r>
      <w:r w:rsidRPr="000A2F9F">
        <w:t xml:space="preserve">, </w:t>
      </w:r>
      <w:r w:rsidR="004D6661">
        <w:t xml:space="preserve">um </w:t>
      </w:r>
      <w:r w:rsidRPr="000A2F9F">
        <w:t>blended-learning Ansätze in die Lehre zu implementieren. De</w:t>
      </w:r>
      <w:r>
        <w:t xml:space="preserve">tails zu den Änderungen und deren Evaluation sind </w:t>
      </w:r>
      <w:r w:rsidR="00BD249F">
        <w:t>der</w:t>
      </w:r>
      <w:r>
        <w:t xml:space="preserve"> Wi</w:t>
      </w:r>
      <w:r w:rsidR="007F04F1">
        <w:t>r</w:t>
      </w:r>
      <w:r>
        <w:t xml:space="preserve">ksamkeitstabelle des Evaluationsberichts zu entnehmen. </w:t>
      </w:r>
    </w:p>
    <w:p w14:paraId="68D14473" w14:textId="4EA76CB4" w:rsidR="00BE2B5B" w:rsidRDefault="00080BB7" w:rsidP="00BE2B5B">
      <w:r>
        <w:t>N</w:t>
      </w:r>
      <w:r w:rsidR="00BE2B5B">
        <w:t xml:space="preserve">ach Rücksprache mit dem Landesprüfungsamt Hamburg zum Thema Zulassung zur </w:t>
      </w:r>
      <w:proofErr w:type="spellStart"/>
      <w:r w:rsidR="00BE2B5B">
        <w:t>Psychotherapeut:innenausbildung</w:t>
      </w:r>
      <w:proofErr w:type="spellEnd"/>
      <w:r w:rsidR="00BE2B5B">
        <w:t xml:space="preserve"> (bei der AHPGS </w:t>
      </w:r>
      <w:r w:rsidR="004D6661">
        <w:t xml:space="preserve">angezeigt am </w:t>
      </w:r>
      <w:r w:rsidR="00BE2B5B">
        <w:t xml:space="preserve">11.06.2018) </w:t>
      </w:r>
      <w:r>
        <w:t xml:space="preserve">wurde der Studiengang </w:t>
      </w:r>
      <w:r w:rsidR="00BE2B5B">
        <w:t>umbenannt (alter Name</w:t>
      </w:r>
      <w:r w:rsidR="004D6661">
        <w:t xml:space="preserve"> Masterstudiengang</w:t>
      </w:r>
      <w:r w:rsidR="00BE2B5B">
        <w:t xml:space="preserve"> </w:t>
      </w:r>
      <w:r w:rsidR="004D6661">
        <w:t>„</w:t>
      </w:r>
      <w:r w:rsidR="00BE2B5B">
        <w:t>Klinische Psychologie und Psychotherapie</w:t>
      </w:r>
      <w:r w:rsidR="004D6661">
        <w:t>“</w:t>
      </w:r>
      <w:r w:rsidR="00BE2B5B">
        <w:t xml:space="preserve">, neuer und aktueller Name: Masterstudiengang </w:t>
      </w:r>
      <w:r w:rsidR="004D6661">
        <w:t>„</w:t>
      </w:r>
      <w:r w:rsidR="00BE2B5B">
        <w:t>Psychologie mit Schwerpunkt Klinische Psychologie und Psychotherapie</w:t>
      </w:r>
      <w:r w:rsidR="004D6661">
        <w:t>“</w:t>
      </w:r>
      <w:r w:rsidR="00BE2B5B">
        <w:t xml:space="preserve">). Mit dieser Änderung </w:t>
      </w:r>
      <w:r w:rsidR="004D6661">
        <w:t xml:space="preserve">der Studiengangsbezeichnung </w:t>
      </w:r>
      <w:r w:rsidR="00BE2B5B">
        <w:t xml:space="preserve">gingen keine inhaltlichen Änderungen einher. </w:t>
      </w:r>
    </w:p>
    <w:p w14:paraId="5F5503A0" w14:textId="7BF09F24" w:rsidR="00F723CB" w:rsidRDefault="00F723CB" w:rsidP="00680DD8">
      <w:pPr>
        <w:rPr>
          <w:rFonts w:cs="Arial"/>
          <w:i/>
          <w:szCs w:val="22"/>
        </w:rPr>
      </w:pPr>
      <w:r w:rsidRPr="00457100">
        <w:rPr>
          <w:rFonts w:cs="Arial"/>
          <w:b/>
          <w:color w:val="A71930"/>
          <w:szCs w:val="22"/>
        </w:rPr>
        <w:t>Bewertung: Stärken und Entwicklungsbedarf</w:t>
      </w:r>
      <w:r>
        <w:rPr>
          <w:rFonts w:cs="Arial"/>
          <w:b/>
          <w:color w:val="A71930"/>
          <w:szCs w:val="22"/>
        </w:rPr>
        <w:t xml:space="preserve"> </w:t>
      </w:r>
    </w:p>
    <w:p w14:paraId="5A110AC8" w14:textId="259C7932" w:rsidR="00736BCB" w:rsidRDefault="00736BCB" w:rsidP="00736BCB">
      <w:pPr>
        <w:rPr>
          <w:b/>
          <w:bCs/>
        </w:rPr>
      </w:pPr>
      <w:r>
        <w:t>Vor Ort wir</w:t>
      </w:r>
      <w:r w:rsidR="0091108A">
        <w:t>d</w:t>
      </w:r>
      <w:r>
        <w:t xml:space="preserve"> von den Gutachter:innen die Lehrveranstaltungsevaluation </w:t>
      </w:r>
      <w:r w:rsidR="00FD5290">
        <w:t xml:space="preserve">und die Ableitung von Maßnahmen aus den vorliegenden Ergebnissen </w:t>
      </w:r>
      <w:r>
        <w:t xml:space="preserve">thematisiert. Die MSH </w:t>
      </w:r>
      <w:r w:rsidR="0091108A">
        <w:t xml:space="preserve">erläutert </w:t>
      </w:r>
      <w:r w:rsidRPr="00080BB7">
        <w:t xml:space="preserve">den Ablauf der Lehrveranstaltungsevaluationen und die Mechanismen, den Beteiligten die Ergebnisse zur Verfügung zu stellen. Über die Plattform </w:t>
      </w:r>
      <w:proofErr w:type="spellStart"/>
      <w:r w:rsidRPr="00080BB7">
        <w:t>Trainex</w:t>
      </w:r>
      <w:proofErr w:type="spellEnd"/>
      <w:r w:rsidRPr="00080BB7">
        <w:t xml:space="preserve"> werden im Evaluationszeitraum (Ende der vorlesungsfreien Zeit bis zum Beginn der Prüfungsphase) die Evaluationsbögen den Studierenden zur Verfügung gestellt. Nach dem Ende des Evaluationszeitraums erhalten die Dozent:innen Einblick in das Evaluationsergebnis, sodass sie in der Lage sind, Anpassungen an der eigenen Lehre vorzunehmen. Die </w:t>
      </w:r>
      <w:proofErr w:type="spellStart"/>
      <w:r w:rsidRPr="00080BB7">
        <w:t>Dekan:innen</w:t>
      </w:r>
      <w:proofErr w:type="spellEnd"/>
      <w:r w:rsidRPr="00080BB7">
        <w:t xml:space="preserve"> der Fakultät haben ebenfalls zeitnah Einblick in die Ergebnisse und können so</w:t>
      </w:r>
      <w:r w:rsidR="0033370A">
        <w:t>,</w:t>
      </w:r>
      <w:r w:rsidRPr="00080BB7">
        <w:t xml:space="preserve"> bei Bedarf</w:t>
      </w:r>
      <w:r w:rsidR="0033370A">
        <w:t>,</w:t>
      </w:r>
      <w:r w:rsidRPr="00080BB7">
        <w:t xml:space="preserve"> das Gespräch mit der </w:t>
      </w:r>
      <w:r w:rsidR="0033370A">
        <w:t xml:space="preserve">jeweils betroffenen </w:t>
      </w:r>
      <w:r w:rsidRPr="00080BB7">
        <w:t xml:space="preserve">Lehrkraft suchen. Weiterhin werden die Ergebnisse im Rahmen des Qualitätsmanagements in Evaluationsberichten zusammengefasst; hier werden auch Qualitätsdefizite und abgeleitete Maßnahmen in Wirksamkeitstabellen erfasst. Zu Beginn des folgenden Semesters erhalten die Studierenden </w:t>
      </w:r>
      <w:r w:rsidR="0033370A">
        <w:t xml:space="preserve">jeden Semesters </w:t>
      </w:r>
      <w:r w:rsidRPr="00080BB7">
        <w:t>Einblick in die Evaluationsergebnisse durch ein mündliches Feedback der Studiengangsleitung. Überdies finden auch informelle Besprechungen zur Bewertung der Module und Lehrveranstaltungen während des Semesters innerhalb der Lehrveranstaltungen statt, sodass</w:t>
      </w:r>
      <w:r w:rsidR="0033370A">
        <w:t>,</w:t>
      </w:r>
      <w:r w:rsidRPr="00080BB7">
        <w:t xml:space="preserve"> bei Bedarf</w:t>
      </w:r>
      <w:r w:rsidR="0033370A">
        <w:t>,</w:t>
      </w:r>
      <w:r w:rsidRPr="00080BB7">
        <w:t xml:space="preserve"> zeitnahe Modifikationen durchgeführt werden können. Die Studierenden bestätigen dieses Vorgehen. Aus Sicht der Gutachter:innen ist damit ein gut funktionierendes Evaluationssystem in Betrieb. </w:t>
      </w:r>
      <w:r>
        <w:t xml:space="preserve">Positiv wird insbesondere </w:t>
      </w:r>
      <w:r w:rsidR="0033370A">
        <w:t xml:space="preserve">die </w:t>
      </w:r>
      <w:r>
        <w:t xml:space="preserve">Wirksamkeitstabelle wahrgenommen, in der die vorgenommen Änderungen im Studiengang dokumentiert werden. Defizite sehen sie </w:t>
      </w:r>
      <w:r w:rsidR="0033370A">
        <w:t xml:space="preserve">jedoch </w:t>
      </w:r>
      <w:r>
        <w:t>bei der späten systemischen Rückmeldung der Evaluationsergebnisse an die Studierenden. Das Interesse der Studierenden</w:t>
      </w:r>
      <w:r w:rsidR="0033370A">
        <w:t>,</w:t>
      </w:r>
      <w:r>
        <w:t xml:space="preserve"> sich an Evaluation zu beteiligen</w:t>
      </w:r>
      <w:r w:rsidR="0033370A">
        <w:t>,</w:t>
      </w:r>
      <w:r>
        <w:t xml:space="preserve"> könnte ihrer Meinung nach gesteigert werden, </w:t>
      </w:r>
      <w:r w:rsidR="0033370A">
        <w:t xml:space="preserve">indem </w:t>
      </w:r>
      <w:r w:rsidR="00666D80">
        <w:t>ihnen</w:t>
      </w:r>
      <w:r>
        <w:t xml:space="preserve"> die Ergebnisse zeitnah zurückgespiegelt werden. </w:t>
      </w:r>
      <w:r w:rsidRPr="007E5E55">
        <w:t xml:space="preserve">Die Gutachter:innen empfehlen </w:t>
      </w:r>
      <w:r>
        <w:t>zudem</w:t>
      </w:r>
      <w:r w:rsidRPr="007E5E55">
        <w:t xml:space="preserve">, die Fragen in den Evaluationsinstrumenten des Studiengangs kritisch zu überprüfen. </w:t>
      </w:r>
      <w:r w:rsidRPr="007E5E55">
        <w:lastRenderedPageBreak/>
        <w:t>Grundsätzlich sollte die Lehrveranstaltungsevaluation von der reinen Erfassung der studentischen Zufriedenheit hin zur Messung der im Studiengang vermittelten Kompetenzen umgestaltet werden.</w:t>
      </w:r>
      <w:r>
        <w:t xml:space="preserve"> Hier gilt es die Items in den Befragungsinstrumenten zu </w:t>
      </w:r>
      <w:r w:rsidR="0033370A">
        <w:t>über</w:t>
      </w:r>
      <w:r>
        <w:t xml:space="preserve">prüfen und mit den Zielen und </w:t>
      </w:r>
      <w:r w:rsidR="0033370A">
        <w:t xml:space="preserve">den </w:t>
      </w:r>
      <w:r>
        <w:t xml:space="preserve">zu vermittelnden Kompetenzen im Studiengang abzugleichen </w:t>
      </w:r>
      <w:r w:rsidR="0033370A">
        <w:t xml:space="preserve">bzw. </w:t>
      </w:r>
      <w:r>
        <w:t xml:space="preserve">anzupassen. </w:t>
      </w:r>
    </w:p>
    <w:p w14:paraId="5AD77445" w14:textId="704D5EB9" w:rsidR="00736BCB" w:rsidRPr="00D62DB3" w:rsidRDefault="00736BCB" w:rsidP="00736BCB">
      <w:pPr>
        <w:rPr>
          <w:rFonts w:cs="Arial"/>
        </w:rPr>
      </w:pPr>
      <w:r>
        <w:t>Grundsätzlich folgt</w:t>
      </w:r>
      <w:r w:rsidR="0033370A">
        <w:t>,</w:t>
      </w:r>
      <w:r>
        <w:t xml:space="preserve"> nach</w:t>
      </w:r>
      <w:r w:rsidRPr="00D62DB3">
        <w:t xml:space="preserve"> Einschätzung der Gutachter:innen</w:t>
      </w:r>
      <w:r w:rsidR="0033370A">
        <w:t>,</w:t>
      </w:r>
      <w:r w:rsidRPr="00D62DB3">
        <w:t xml:space="preserve"> das Qualitätssicherungssystem an der Hochschule einem geschlossenen Regelkreis. Studierende werden dabei umfassend einbezogen. Es kommen Lehrveranstaltungsevaluationen, Workload-Erhebungen</w:t>
      </w:r>
      <w:r w:rsidR="004725DC">
        <w:t>,</w:t>
      </w:r>
      <w:r w:rsidRPr="00D62DB3">
        <w:t xml:space="preserve"> </w:t>
      </w:r>
      <w:proofErr w:type="spellStart"/>
      <w:r w:rsidRPr="00D62DB3">
        <w:t>Absolvent:innenbefragungen</w:t>
      </w:r>
      <w:proofErr w:type="spellEnd"/>
      <w:r w:rsidR="004725DC">
        <w:t xml:space="preserve"> und weitere</w:t>
      </w:r>
      <w:r w:rsidRPr="00D62DB3">
        <w:t xml:space="preserve"> zum Einsatz. Überdies werden Statistiken zu Bewerbungen, Studienstart, Studienabbrüchen und </w:t>
      </w:r>
      <w:proofErr w:type="spellStart"/>
      <w:r w:rsidRPr="00D62DB3">
        <w:t>Absolvent:innenzahlen</w:t>
      </w:r>
      <w:proofErr w:type="spellEnd"/>
      <w:r w:rsidRPr="00D62DB3">
        <w:t xml:space="preserve"> geführt. Die beschriebenen Qualitätssicherungsinstrumente werden im Studiengang eingesetzt. </w:t>
      </w:r>
    </w:p>
    <w:p w14:paraId="0328F693" w14:textId="77777777" w:rsidR="00D62DB3" w:rsidRPr="00457100" w:rsidRDefault="00D62DB3" w:rsidP="00736BCB">
      <w:pPr>
        <w:pStyle w:val="Titel"/>
      </w:pPr>
      <w:r w:rsidRPr="00457100">
        <w:t>Entscheidungsvorschla</w:t>
      </w:r>
      <w:r>
        <w:t>g</w:t>
      </w:r>
    </w:p>
    <w:p w14:paraId="55882457" w14:textId="77777777" w:rsidR="00D62DB3" w:rsidRDefault="00D62DB3" w:rsidP="00D62DB3">
      <w:pPr>
        <w:spacing w:before="0"/>
        <w:rPr>
          <w:rFonts w:cs="Arial"/>
          <w:i/>
          <w:szCs w:val="22"/>
        </w:rPr>
      </w:pPr>
      <w:r>
        <w:rPr>
          <w:rFonts w:cs="Arial"/>
          <w:szCs w:val="22"/>
        </w:rPr>
        <w:t>Das Kriterium ist e</w:t>
      </w:r>
      <w:r w:rsidRPr="00FD370C">
        <w:rPr>
          <w:rFonts w:cs="Arial"/>
          <w:szCs w:val="22"/>
        </w:rPr>
        <w:t>rfüllt</w:t>
      </w:r>
      <w:r>
        <w:rPr>
          <w:rFonts w:cs="Arial"/>
          <w:szCs w:val="22"/>
        </w:rPr>
        <w:t>.</w:t>
      </w:r>
      <w:r w:rsidRPr="00FD370C">
        <w:rPr>
          <w:rFonts w:cs="Arial"/>
          <w:szCs w:val="22"/>
        </w:rPr>
        <w:t xml:space="preserve"> </w:t>
      </w:r>
    </w:p>
    <w:p w14:paraId="7D7E3568" w14:textId="76F487E4" w:rsidR="00466760" w:rsidRDefault="00466760" w:rsidP="00CF5A62">
      <w:pPr>
        <w:spacing w:before="0" w:after="120" w:line="240" w:lineRule="auto"/>
        <w:rPr>
          <w:rFonts w:cs="Arial"/>
          <w:szCs w:val="22"/>
        </w:rPr>
      </w:pPr>
      <w:r w:rsidRPr="00FD370C">
        <w:rPr>
          <w:rFonts w:cs="Arial"/>
          <w:szCs w:val="22"/>
        </w:rPr>
        <w:t>Das Gutachter</w:t>
      </w:r>
      <w:r>
        <w:rPr>
          <w:rFonts w:cs="Arial"/>
          <w:szCs w:val="22"/>
        </w:rPr>
        <w:t>:innen</w:t>
      </w:r>
      <w:r w:rsidRPr="00FD370C">
        <w:rPr>
          <w:rFonts w:cs="Arial"/>
          <w:szCs w:val="22"/>
        </w:rPr>
        <w:t>gremium gibt folgende Empfehlungen:</w:t>
      </w:r>
      <w:r>
        <w:rPr>
          <w:rFonts w:cs="Arial"/>
          <w:szCs w:val="22"/>
        </w:rPr>
        <w:t xml:space="preserve"> </w:t>
      </w:r>
    </w:p>
    <w:p w14:paraId="22C59C73" w14:textId="7313F1D5" w:rsidR="000E31E2" w:rsidRDefault="000E31E2" w:rsidP="000E31E2">
      <w:pPr>
        <w:pStyle w:val="AufzhlungAuflagen"/>
      </w:pPr>
      <w:r>
        <w:t>D</w:t>
      </w:r>
      <w:r w:rsidRPr="000E31E2">
        <w:t xml:space="preserve">ie Lehrveranstaltungsevaluation </w:t>
      </w:r>
      <w:r>
        <w:t xml:space="preserve">sollte </w:t>
      </w:r>
      <w:r w:rsidRPr="000E31E2">
        <w:t>von der reinen Erfassung der studentischen Zufriedenheit hin zur Messung der im Studiengang vermittelten Kompetenzen umgestaltet werden.</w:t>
      </w:r>
    </w:p>
    <w:p w14:paraId="6275764C" w14:textId="77F8F76E" w:rsidR="000E31E2" w:rsidRDefault="000E31E2" w:rsidP="000E31E2">
      <w:pPr>
        <w:pStyle w:val="AufzhlungAuflagen"/>
      </w:pPr>
      <w:r>
        <w:t xml:space="preserve">Evaluationsergebnisse sollten den Studierenden systematisch und zeitnah rückgemeldet werden. </w:t>
      </w:r>
    </w:p>
    <w:p w14:paraId="6F8CC26D" w14:textId="77777777" w:rsidR="004A12CD" w:rsidRPr="00FD370C" w:rsidRDefault="004A12CD" w:rsidP="00CF5A62">
      <w:pPr>
        <w:spacing w:before="0" w:after="120" w:line="240" w:lineRule="auto"/>
        <w:rPr>
          <w:rFonts w:cs="Arial"/>
          <w:szCs w:val="22"/>
        </w:rPr>
      </w:pPr>
    </w:p>
    <w:p w14:paraId="03654A34" w14:textId="78400A05" w:rsidR="00091E5E" w:rsidRPr="00457100" w:rsidRDefault="00520772" w:rsidP="00CF5A62">
      <w:pPr>
        <w:pStyle w:val="berschrift3"/>
        <w:numPr>
          <w:ilvl w:val="0"/>
          <w:numId w:val="0"/>
        </w:numPr>
        <w:spacing w:before="0"/>
        <w:ind w:left="567" w:hanging="567"/>
      </w:pPr>
      <w:bookmarkStart w:id="78" w:name="_Geschlechtergerechtigkeit_und_Nacht"/>
      <w:bookmarkStart w:id="79" w:name="_Toc141346987"/>
      <w:bookmarkEnd w:id="78"/>
      <w:r w:rsidRPr="00457100">
        <w:t>Geschlechtergerechtigkeit und Nachteilsausgleich</w:t>
      </w:r>
      <w:bookmarkStart w:id="80" w:name="_Abschlussniveau"/>
      <w:bookmarkEnd w:id="80"/>
      <w:r w:rsidR="004551F5" w:rsidRPr="00457100">
        <w:t xml:space="preserve"> </w:t>
      </w:r>
      <w:hyperlink w:anchor="Geschlechtergerechtigkeit" w:history="1">
        <w:r w:rsidR="004551F5" w:rsidRPr="00C17FA1">
          <w:rPr>
            <w:rStyle w:val="Hyperlink"/>
            <w:rFonts w:cs="Arial"/>
          </w:rPr>
          <w:t>(§ 15 MRVO)</w:t>
        </w:r>
        <w:bookmarkEnd w:id="79"/>
      </w:hyperlink>
    </w:p>
    <w:p w14:paraId="20CA93A1" w14:textId="060BCADC" w:rsidR="00F723CB" w:rsidRDefault="003336AB" w:rsidP="00C23AB5">
      <w:pPr>
        <w:rPr>
          <w:rFonts w:cs="Arial"/>
          <w:b/>
          <w:color w:val="A71930"/>
          <w:szCs w:val="22"/>
        </w:rPr>
      </w:pPr>
      <w:r>
        <w:rPr>
          <w:rFonts w:cs="Arial"/>
          <w:b/>
          <w:color w:val="A71930"/>
          <w:szCs w:val="22"/>
        </w:rPr>
        <w:t>Sachstand</w:t>
      </w:r>
    </w:p>
    <w:p w14:paraId="68CD7BD3" w14:textId="5252226A" w:rsidR="007C3172" w:rsidRDefault="007C3172" w:rsidP="007C3172">
      <w:bookmarkStart w:id="81" w:name="_Hlk142640305"/>
      <w:bookmarkStart w:id="82" w:name="_Hlk35861908"/>
      <w:r>
        <w:t>M</w:t>
      </w:r>
      <w:r w:rsidRPr="007C3172">
        <w:rPr>
          <w:rFonts w:cs="Arial"/>
          <w:szCs w:val="22"/>
          <w:lang w:eastAsia="en-US"/>
        </w:rPr>
        <w:t>it ihrem Gleichstellungs- und</w:t>
      </w:r>
      <w:r>
        <w:rPr>
          <w:rFonts w:cs="Arial"/>
          <w:szCs w:val="22"/>
          <w:lang w:eastAsia="en-US"/>
        </w:rPr>
        <w:t xml:space="preserve"> </w:t>
      </w:r>
      <w:proofErr w:type="spellStart"/>
      <w:r w:rsidRPr="007C3172">
        <w:rPr>
          <w:rFonts w:cs="Arial"/>
          <w:szCs w:val="22"/>
          <w:lang w:eastAsia="en-US"/>
        </w:rPr>
        <w:t>Diversitymanagementkonzept</w:t>
      </w:r>
      <w:proofErr w:type="spellEnd"/>
      <w:r w:rsidRPr="007C3172">
        <w:rPr>
          <w:rFonts w:cs="Arial"/>
          <w:szCs w:val="22"/>
          <w:lang w:eastAsia="en-US"/>
        </w:rPr>
        <w:t xml:space="preserve"> </w:t>
      </w:r>
      <w:r>
        <w:rPr>
          <w:szCs w:val="22"/>
          <w:lang w:eastAsia="en-US"/>
        </w:rPr>
        <w:t xml:space="preserve">verfolgt die Hochschule folgende </w:t>
      </w:r>
      <w:r w:rsidRPr="007C3172">
        <w:rPr>
          <w:rFonts w:cs="Arial"/>
          <w:szCs w:val="22"/>
          <w:lang w:eastAsia="en-US"/>
        </w:rPr>
        <w:t>Ziel</w:t>
      </w:r>
      <w:r>
        <w:rPr>
          <w:szCs w:val="22"/>
          <w:lang w:eastAsia="en-US"/>
        </w:rPr>
        <w:t xml:space="preserve">e: </w:t>
      </w:r>
    </w:p>
    <w:p w14:paraId="2E14452A" w14:textId="070FE1F5" w:rsidR="007C3172" w:rsidRDefault="007C3172" w:rsidP="00736BCB">
      <w:pPr>
        <w:pStyle w:val="AufzhlungAuflagen"/>
      </w:pPr>
      <w:r>
        <w:t xml:space="preserve">Etablierung von Chancengleichheit für alle als ein wichtiges Kriterium für die Weiterentwicklung der Hochschule, </w:t>
      </w:r>
    </w:p>
    <w:p w14:paraId="5AAE2B3B" w14:textId="656CEBA8" w:rsidR="007C3172" w:rsidRDefault="007C3172" w:rsidP="00736BCB">
      <w:pPr>
        <w:pStyle w:val="AufzhlungAuflagen"/>
      </w:pPr>
      <w:r>
        <w:t xml:space="preserve">Förderung der Gleichstellung als umfassende Querschnittsaufgabe in Forschung, Lehre und Studium sowie auf allen Entscheidungsebenen der Hochschule, </w:t>
      </w:r>
    </w:p>
    <w:p w14:paraId="66BD6181" w14:textId="0010B4BA" w:rsidR="007C3172" w:rsidRDefault="007C3172" w:rsidP="00736BCB">
      <w:pPr>
        <w:pStyle w:val="AufzhlungAuflagen"/>
      </w:pPr>
      <w:r>
        <w:t xml:space="preserve">Sicherung von Chancengleichheit in Abhängigkeit von den Rahmenbedingungen des Alltags der Hochschule und deren stetigen Veränderungen, </w:t>
      </w:r>
    </w:p>
    <w:p w14:paraId="0A52815C" w14:textId="2E17E818" w:rsidR="007C3172" w:rsidRDefault="007C3172" w:rsidP="00736BCB">
      <w:pPr>
        <w:pStyle w:val="AufzhlungAuflagen"/>
      </w:pPr>
      <w:r>
        <w:t xml:space="preserve">Nutzung von aktuellen statistischen Daten zur Situation von Frauen an Universitäten und Hochschulen in Deutschland sowie Erkenntnisse und Empfehlungen zum Gendermanagement im Gleichstellungskonzept der Hochschule. </w:t>
      </w:r>
    </w:p>
    <w:p w14:paraId="56EE0A16" w14:textId="0D39EC25" w:rsidR="00C23AB5" w:rsidRDefault="00AB6DD0" w:rsidP="00AB6DD0">
      <w:pPr>
        <w:rPr>
          <w:highlight w:val="lightGray"/>
        </w:rPr>
      </w:pPr>
      <w:r w:rsidRPr="00AB6DD0">
        <w:rPr>
          <w:lang w:eastAsia="en-US"/>
        </w:rPr>
        <w:t>Die Regelungen zum Nachteilsausgleich von Studierenden mit Behinderung und chronischer Krankheit hinsichtlich zeitlicher und formaler Vorgaben im Studium werden in § 7 Abs. 4 der RPO beschrieben.</w:t>
      </w:r>
      <w:r>
        <w:rPr>
          <w:lang w:eastAsia="en-US"/>
        </w:rPr>
        <w:t xml:space="preserve"> </w:t>
      </w:r>
      <w:r w:rsidR="007C3172" w:rsidRPr="007C3172">
        <w:rPr>
          <w:lang w:eastAsia="en-US"/>
        </w:rPr>
        <w:t>Die Hochschule ist komplett barrierefrei</w:t>
      </w:r>
      <w:r w:rsidR="007C3172">
        <w:rPr>
          <w:lang w:eastAsia="en-US"/>
        </w:rPr>
        <w:t>.</w:t>
      </w:r>
    </w:p>
    <w:bookmarkEnd w:id="81"/>
    <w:bookmarkEnd w:id="82"/>
    <w:p w14:paraId="0BCB1E93" w14:textId="77777777" w:rsidR="00D62DB3" w:rsidRDefault="00D62DB3" w:rsidP="00B814D3">
      <w:pPr>
        <w:rPr>
          <w:rFonts w:cs="Arial"/>
          <w:i/>
          <w:szCs w:val="22"/>
        </w:rPr>
      </w:pPr>
      <w:r w:rsidRPr="00457100">
        <w:rPr>
          <w:rFonts w:cs="Arial"/>
          <w:b/>
          <w:color w:val="A71930"/>
          <w:szCs w:val="22"/>
        </w:rPr>
        <w:t>Bewertung: Stärken und Entwicklungsbedarf</w:t>
      </w:r>
      <w:r>
        <w:rPr>
          <w:rFonts w:cs="Arial"/>
          <w:b/>
          <w:color w:val="A71930"/>
          <w:szCs w:val="22"/>
        </w:rPr>
        <w:t xml:space="preserve"> </w:t>
      </w:r>
    </w:p>
    <w:p w14:paraId="0A609E42" w14:textId="5B67733B" w:rsidR="00D62DB3" w:rsidRDefault="00D62DB3" w:rsidP="00B814D3">
      <w:r>
        <w:lastRenderedPageBreak/>
        <w:t xml:space="preserve">Angesichts der aufgezeigten Maßnahmen kommen die Gutachter:innen zu der Einschätzung, dass die Konzepte der Hochschule zur Geschlechtergerechtigkeit und Förderung von Studierenden in besonderen Lebenslagen auf der Ebene des Studiengangs umgesetzt werden. </w:t>
      </w:r>
      <w:r w:rsidR="002E31E6">
        <w:t>Die Studierenden vor Ort bestätigen</w:t>
      </w:r>
      <w:r w:rsidR="00ED4401">
        <w:t>, dass in besonderen Situationen gemeinsam mit der Hochschule na</w:t>
      </w:r>
      <w:r w:rsidR="00C84BC6">
        <w:t>c</w:t>
      </w:r>
      <w:r w:rsidR="00ED4401">
        <w:t xml:space="preserve">h Lösungen gesucht und diese auch gefunden werden. Stipendien werden angeboten. Für Studierende mit Kindern stehen eine entsprechende Infrastruktur und Betreuungsmöglichkeiten zur Verfügung. </w:t>
      </w:r>
    </w:p>
    <w:p w14:paraId="37A40DF0" w14:textId="77777777" w:rsidR="00D62DB3" w:rsidRPr="00457100" w:rsidRDefault="00D62DB3" w:rsidP="00B814D3">
      <w:pPr>
        <w:spacing w:after="120" w:line="240" w:lineRule="auto"/>
        <w:rPr>
          <w:rFonts w:cs="Arial"/>
          <w:color w:val="A71930"/>
          <w:szCs w:val="22"/>
        </w:rPr>
      </w:pPr>
      <w:r w:rsidRPr="00457100">
        <w:rPr>
          <w:rFonts w:cs="Arial"/>
          <w:b/>
          <w:color w:val="A71930"/>
          <w:szCs w:val="22"/>
        </w:rPr>
        <w:t>Entscheidungsvorschla</w:t>
      </w:r>
      <w:r>
        <w:rPr>
          <w:rFonts w:cs="Arial"/>
          <w:b/>
          <w:color w:val="A71930"/>
          <w:szCs w:val="22"/>
        </w:rPr>
        <w:t>g</w:t>
      </w:r>
    </w:p>
    <w:p w14:paraId="2BB7805D" w14:textId="77777777" w:rsidR="00D62DB3" w:rsidRDefault="00D62DB3" w:rsidP="00D62DB3">
      <w:pPr>
        <w:spacing w:before="0"/>
        <w:rPr>
          <w:rFonts w:cs="Arial"/>
          <w:i/>
          <w:szCs w:val="22"/>
        </w:rPr>
      </w:pPr>
      <w:r>
        <w:rPr>
          <w:rFonts w:cs="Arial"/>
          <w:szCs w:val="22"/>
        </w:rPr>
        <w:t>Das Kriterium ist e</w:t>
      </w:r>
      <w:r w:rsidRPr="00FD370C">
        <w:rPr>
          <w:rFonts w:cs="Arial"/>
          <w:szCs w:val="22"/>
        </w:rPr>
        <w:t>rfüllt</w:t>
      </w:r>
      <w:r>
        <w:rPr>
          <w:rFonts w:cs="Arial"/>
          <w:szCs w:val="22"/>
        </w:rPr>
        <w:t xml:space="preserve"> </w:t>
      </w:r>
    </w:p>
    <w:p w14:paraId="5881C378" w14:textId="6961B7BF" w:rsidR="004A12CD" w:rsidRPr="00FD370C" w:rsidRDefault="00B727CC" w:rsidP="00FD5290">
      <w:pPr>
        <w:spacing w:before="0" w:line="240" w:lineRule="auto"/>
        <w:jc w:val="left"/>
        <w:rPr>
          <w:rFonts w:cs="Arial"/>
          <w:szCs w:val="22"/>
        </w:rPr>
      </w:pPr>
      <w:r>
        <w:rPr>
          <w:rFonts w:cs="Arial"/>
          <w:szCs w:val="22"/>
        </w:rPr>
        <w:br w:type="page"/>
      </w:r>
    </w:p>
    <w:p w14:paraId="5A95C4B0" w14:textId="77777777" w:rsidR="001300E0" w:rsidRPr="00457100" w:rsidRDefault="001300E0" w:rsidP="00CC2409">
      <w:pPr>
        <w:pStyle w:val="berschrift1"/>
        <w:rPr>
          <w:rFonts w:cs="Arial"/>
          <w:szCs w:val="22"/>
        </w:rPr>
      </w:pPr>
      <w:bookmarkStart w:id="83" w:name="_Sonderregelungen_für_Joint-Degree-P_1"/>
      <w:bookmarkStart w:id="84" w:name="_Kooperationen_mit_nichthochschulisc"/>
      <w:bookmarkStart w:id="85" w:name="_Hochschulische_Kooperationen_(§"/>
      <w:bookmarkStart w:id="86" w:name="_Besondere_Kriterien_für_1"/>
      <w:bookmarkStart w:id="87" w:name="_Toc141346988"/>
      <w:bookmarkEnd w:id="83"/>
      <w:bookmarkEnd w:id="84"/>
      <w:bookmarkEnd w:id="85"/>
      <w:bookmarkEnd w:id="86"/>
      <w:r w:rsidRPr="00457100">
        <w:rPr>
          <w:rFonts w:cs="Arial"/>
          <w:szCs w:val="22"/>
        </w:rPr>
        <w:lastRenderedPageBreak/>
        <w:t>Begutachtungsverfahren</w:t>
      </w:r>
      <w:bookmarkEnd w:id="87"/>
    </w:p>
    <w:p w14:paraId="3EA76D67" w14:textId="3C030BE3" w:rsidR="001300E0" w:rsidRPr="00457100" w:rsidRDefault="00780E73" w:rsidP="00385FC8">
      <w:pPr>
        <w:pStyle w:val="berschrift2"/>
      </w:pPr>
      <w:bookmarkStart w:id="88" w:name="_Toc141346989"/>
      <w:r w:rsidRPr="00457100">
        <w:t>Allgemeine Hinweise</w:t>
      </w:r>
      <w:bookmarkEnd w:id="88"/>
    </w:p>
    <w:p w14:paraId="7EE9B57B" w14:textId="7EE23912" w:rsidR="00D300CE" w:rsidRPr="00C63129" w:rsidRDefault="00C63129" w:rsidP="00736BCB">
      <w:pPr>
        <w:pStyle w:val="AufzhlungAuflagen"/>
        <w:rPr>
          <w:rFonts w:cs="Arial"/>
          <w:iCs/>
        </w:rPr>
      </w:pPr>
      <w:bookmarkStart w:id="89" w:name="_Hlk35861999"/>
      <w:r w:rsidRPr="00C63129">
        <w:t xml:space="preserve">Es wird die Reakkreditierung des Masterstudiengangs </w:t>
      </w:r>
      <w:r>
        <w:t>„</w:t>
      </w:r>
      <w:r w:rsidRPr="00C63129">
        <w:t>Psychologie mit Schwerpunkt Klinische Psychologie und Psychotherapie</w:t>
      </w:r>
      <w:r>
        <w:t>“</w:t>
      </w:r>
      <w:r w:rsidRPr="00C63129">
        <w:t xml:space="preserve"> (nach altem Psychotherapeutengesetz</w:t>
      </w:r>
      <w:r w:rsidR="00AC7EEE" w:rsidRPr="00AC7EEE">
        <w:rPr>
          <w:rFonts w:cs="Arial"/>
          <w:iCs/>
        </w:rPr>
        <w:t xml:space="preserve"> </w:t>
      </w:r>
      <w:r w:rsidR="00AC7EEE">
        <w:rPr>
          <w:rFonts w:cs="Arial"/>
          <w:iCs/>
        </w:rPr>
        <w:t>- PsychThG</w:t>
      </w:r>
      <w:r w:rsidRPr="00C63129">
        <w:t>) beantragt. Dieser Masterstudiengang ermöglicht Studierenden, die vor dem 01.09.2020 ein Bachelorstudium der Psychologie begonnen haben, im Rahmen der gesetzlichen Übergangsfrist</w:t>
      </w:r>
      <w:r w:rsidR="00C84BC6">
        <w:t>,</w:t>
      </w:r>
      <w:r w:rsidRPr="00C63129">
        <w:t xml:space="preserve"> den alten Qualifikationsweg zur Approbation als Psychotherapeut:in</w:t>
      </w:r>
      <w:r>
        <w:t>.</w:t>
      </w:r>
      <w:r w:rsidRPr="00C63129">
        <w:rPr>
          <w:rFonts w:cs="Arial"/>
          <w:iCs/>
        </w:rPr>
        <w:t xml:space="preserve"> Nach Ablauf der Übergangsfrist wird der Masterstudiengang bei ausreichend</w:t>
      </w:r>
      <w:r w:rsidR="00C84BC6">
        <w:rPr>
          <w:rFonts w:cs="Arial"/>
          <w:iCs/>
        </w:rPr>
        <w:t>er</w:t>
      </w:r>
      <w:r w:rsidRPr="00C63129">
        <w:rPr>
          <w:rFonts w:cs="Arial"/>
          <w:iCs/>
        </w:rPr>
        <w:t xml:space="preserve"> Nachfrage weiter angeboten </w:t>
      </w:r>
      <w:r w:rsidR="00C84BC6">
        <w:rPr>
          <w:rFonts w:cs="Arial"/>
          <w:iCs/>
        </w:rPr>
        <w:t xml:space="preserve">werden. Er </w:t>
      </w:r>
      <w:r w:rsidRPr="00C63129">
        <w:rPr>
          <w:rFonts w:cs="Arial"/>
          <w:iCs/>
        </w:rPr>
        <w:t xml:space="preserve">qualifiziert Studierende für klinisch-psychologische Tätigkeiten, die keine Weiterbildung/Approbation erfordern. Der Qualifikationsweg zur Approbation als Psychotherapeut:in ist nach derzeitiger Gesetzeslage nur noch über den Masterstudiengang </w:t>
      </w:r>
      <w:r w:rsidR="00C84BC6">
        <w:rPr>
          <w:rFonts w:cs="Arial"/>
          <w:iCs/>
        </w:rPr>
        <w:t>„</w:t>
      </w:r>
      <w:r w:rsidRPr="00C63129">
        <w:rPr>
          <w:rFonts w:cs="Arial"/>
          <w:iCs/>
        </w:rPr>
        <w:t xml:space="preserve">Psychologie mit Schwerpunkt </w:t>
      </w:r>
      <w:r w:rsidR="00C84BC6">
        <w:rPr>
          <w:rFonts w:cs="Arial"/>
          <w:iCs/>
        </w:rPr>
        <w:t>„</w:t>
      </w:r>
      <w:r w:rsidRPr="00C63129">
        <w:rPr>
          <w:rFonts w:cs="Arial"/>
          <w:iCs/>
        </w:rPr>
        <w:t>Klinische Psychologie und Psychotherapie (nach PsychThG 2019)</w:t>
      </w:r>
      <w:r w:rsidR="00C84BC6">
        <w:rPr>
          <w:rFonts w:cs="Arial"/>
          <w:iCs/>
        </w:rPr>
        <w:t>“</w:t>
      </w:r>
      <w:r w:rsidRPr="00C63129">
        <w:rPr>
          <w:rFonts w:cs="Arial"/>
          <w:iCs/>
        </w:rPr>
        <w:t xml:space="preserve"> möglich. An der Hochschule wird bereits ein Masterstudiengang „Psychologie mit Schwerpunkt Klinische Psychologie und Psychotherapie“ nach </w:t>
      </w:r>
      <w:r w:rsidR="00AC7EEE">
        <w:t xml:space="preserve">PsychThG 2019 </w:t>
      </w:r>
      <w:r w:rsidRPr="00C63129">
        <w:rPr>
          <w:rFonts w:cs="Arial"/>
          <w:iCs/>
        </w:rPr>
        <w:t xml:space="preserve">angeboten. </w:t>
      </w:r>
      <w:r w:rsidR="00D300CE" w:rsidRPr="00C63129">
        <w:rPr>
          <w:rFonts w:cs="Arial"/>
          <w:iCs/>
        </w:rPr>
        <w:t xml:space="preserve"> </w:t>
      </w:r>
    </w:p>
    <w:p w14:paraId="51617BC2" w14:textId="039241A9" w:rsidR="008F3039" w:rsidRPr="00BE74E3" w:rsidRDefault="008F3039" w:rsidP="00736BCB">
      <w:pPr>
        <w:pStyle w:val="AufzhlungAuflagen"/>
        <w:rPr>
          <w:rFonts w:cs="Arial"/>
          <w:iCs/>
        </w:rPr>
      </w:pPr>
      <w:r w:rsidRPr="00BE74E3">
        <w:rPr>
          <w:rFonts w:cs="Arial"/>
          <w:iCs/>
        </w:rPr>
        <w:t xml:space="preserve">Die Studierendenvertretung war im Sinne des </w:t>
      </w:r>
      <w:r w:rsidR="00967A83" w:rsidRPr="00BE74E3">
        <w:rPr>
          <w:rFonts w:cs="Arial"/>
          <w:iCs/>
        </w:rPr>
        <w:t>§ 24 Abs. 2</w:t>
      </w:r>
      <w:r w:rsidRPr="00BE74E3">
        <w:rPr>
          <w:rFonts w:cs="Arial"/>
          <w:iCs/>
        </w:rPr>
        <w:t xml:space="preserve"> </w:t>
      </w:r>
      <w:r w:rsidR="00967A83" w:rsidRPr="00BE74E3">
        <w:rPr>
          <w:rFonts w:cs="Arial"/>
        </w:rPr>
        <w:t xml:space="preserve">Verordnung zur Regelung des Näheren der Studienakkreditierung in der Freien und Hansestadt Hamburg </w:t>
      </w:r>
      <w:r w:rsidRPr="00BE74E3">
        <w:rPr>
          <w:rFonts w:cs="Arial"/>
          <w:iCs/>
        </w:rPr>
        <w:t xml:space="preserve">in die </w:t>
      </w:r>
      <w:r w:rsidR="005E2769" w:rsidRPr="00BE74E3">
        <w:rPr>
          <w:rFonts w:cs="Arial"/>
          <w:iCs/>
        </w:rPr>
        <w:t>Erstellung</w:t>
      </w:r>
      <w:r w:rsidRPr="00BE74E3">
        <w:rPr>
          <w:rFonts w:cs="Arial"/>
          <w:iCs/>
        </w:rPr>
        <w:t xml:space="preserve"> des Studiengangs eingebunden.</w:t>
      </w:r>
    </w:p>
    <w:p w14:paraId="73BE371D" w14:textId="04EC3399" w:rsidR="001300E0" w:rsidRPr="00457100" w:rsidRDefault="001300E0" w:rsidP="00385FC8">
      <w:pPr>
        <w:pStyle w:val="berschrift2"/>
      </w:pPr>
      <w:bookmarkStart w:id="90" w:name="_Toc141346990"/>
      <w:bookmarkEnd w:id="89"/>
      <w:r w:rsidRPr="00457100">
        <w:t>Rechtliche Grundlagen</w:t>
      </w:r>
      <w:bookmarkEnd w:id="90"/>
    </w:p>
    <w:p w14:paraId="1C781C02" w14:textId="7E2A5F33" w:rsidR="001675A5" w:rsidRDefault="00736BCB" w:rsidP="00135427">
      <w:pPr>
        <w:pStyle w:val="AufzhlungAuflagen"/>
      </w:pPr>
      <w:bookmarkStart w:id="91" w:name="_Hlk35862027"/>
      <w:bookmarkStart w:id="92" w:name="_Hlk30686865"/>
      <w:r w:rsidRPr="00953D49">
        <w:t>„Regeln für die Akkreditierung von Studiengängen und für die Systemakkreditierung“ (Beschluss des Akkreditierungsrates vom 08.12.2009 i.</w:t>
      </w:r>
      <w:r w:rsidRPr="001675A5">
        <w:rPr>
          <w:rFonts w:ascii="Cambria Math" w:hAnsi="Cambria Math" w:cs="Cambria Math"/>
        </w:rPr>
        <w:t> </w:t>
      </w:r>
      <w:r w:rsidRPr="00953D49">
        <w:t>d.</w:t>
      </w:r>
      <w:r w:rsidRPr="001675A5">
        <w:rPr>
          <w:rFonts w:ascii="Cambria Math" w:hAnsi="Cambria Math" w:cs="Cambria Math"/>
        </w:rPr>
        <w:t> </w:t>
      </w:r>
      <w:r w:rsidRPr="00953D49">
        <w:t>F. vom 20.02.2013; Drs. AR 20/2013)</w:t>
      </w:r>
      <w:r w:rsidR="001675A5">
        <w:t>. Die Gutachter:innen haben sich an den in der „</w:t>
      </w:r>
      <w:r w:rsidR="001675A5" w:rsidRPr="001675A5">
        <w:t>Verordnung zur Regelung des Näheren der Studienakkreditierung in der Freien und Hansestadt Hamburg</w:t>
      </w:r>
      <w:r w:rsidR="001675A5">
        <w:t xml:space="preserve"> (Studienakkreditierungsverordnung - StudakkVO) vom 6. Dezember 2018 geregelten Kriterien orientiert. Der Bericht folgt ebenfalls dieser Struktur. </w:t>
      </w:r>
    </w:p>
    <w:p w14:paraId="2E8E034F" w14:textId="1D97227F" w:rsidR="001300E0" w:rsidRDefault="001300E0" w:rsidP="00385FC8">
      <w:pPr>
        <w:pStyle w:val="berschrift2"/>
      </w:pPr>
      <w:bookmarkStart w:id="93" w:name="_Toc141346991"/>
      <w:bookmarkEnd w:id="91"/>
      <w:bookmarkEnd w:id="92"/>
      <w:r w:rsidRPr="00457100">
        <w:t>Gutachter</w:t>
      </w:r>
      <w:r w:rsidR="005C403D">
        <w:t>:innen</w:t>
      </w:r>
      <w:r w:rsidR="00961F57">
        <w:t>gremium</w:t>
      </w:r>
      <w:bookmarkEnd w:id="93"/>
      <w:r w:rsidR="008F3039">
        <w:t xml:space="preserve"> </w:t>
      </w:r>
    </w:p>
    <w:p w14:paraId="64FC4A7E" w14:textId="77777777" w:rsidR="00A64AB0" w:rsidRPr="008C5719" w:rsidRDefault="00A64AB0" w:rsidP="008C5719">
      <w:pPr>
        <w:rPr>
          <w:rFonts w:cs="Arial"/>
        </w:rPr>
      </w:pPr>
      <w:r w:rsidRPr="008C5719">
        <w:rPr>
          <w:rFonts w:cs="Arial"/>
        </w:rPr>
        <w:t>Hochschullehrer:innen</w:t>
      </w:r>
    </w:p>
    <w:p w14:paraId="45AAFC6C" w14:textId="6D0C8D34" w:rsidR="008C5719" w:rsidRPr="008C5719" w:rsidRDefault="008C5719" w:rsidP="008C5719">
      <w:pPr>
        <w:pStyle w:val="Listenabsatz"/>
        <w:numPr>
          <w:ilvl w:val="0"/>
          <w:numId w:val="41"/>
        </w:numPr>
        <w:spacing w:line="240" w:lineRule="auto"/>
        <w:rPr>
          <w:rFonts w:cs="Arial"/>
        </w:rPr>
      </w:pPr>
      <w:r w:rsidRPr="008C5719">
        <w:rPr>
          <w:rFonts w:cs="Arial"/>
        </w:rPr>
        <w:t xml:space="preserve">Prof. Dr. Dr. Jürgen Bengel, Universität Freiburg </w:t>
      </w:r>
    </w:p>
    <w:p w14:paraId="4BA29885" w14:textId="1DDFD376" w:rsidR="008C5719" w:rsidRDefault="008C5719" w:rsidP="008C5719">
      <w:pPr>
        <w:pStyle w:val="Listenabsatz"/>
        <w:numPr>
          <w:ilvl w:val="0"/>
          <w:numId w:val="41"/>
        </w:numPr>
        <w:spacing w:line="240" w:lineRule="auto"/>
        <w:rPr>
          <w:rFonts w:cs="Arial"/>
        </w:rPr>
      </w:pPr>
      <w:r w:rsidRPr="008C5719">
        <w:rPr>
          <w:rFonts w:cs="Arial"/>
        </w:rPr>
        <w:t xml:space="preserve">Prof.in Dr. Veronika Verbeek, IU Internationale Hochschule </w:t>
      </w:r>
    </w:p>
    <w:p w14:paraId="790B5E06" w14:textId="77777777" w:rsidR="002E31E6" w:rsidRPr="008C5719" w:rsidRDefault="002E31E6" w:rsidP="002E31E6">
      <w:pPr>
        <w:pStyle w:val="Listenabsatz"/>
        <w:numPr>
          <w:ilvl w:val="0"/>
          <w:numId w:val="0"/>
        </w:numPr>
        <w:spacing w:line="240" w:lineRule="auto"/>
        <w:ind w:left="720"/>
        <w:rPr>
          <w:rFonts w:cs="Arial"/>
        </w:rPr>
      </w:pPr>
    </w:p>
    <w:p w14:paraId="15E19B65" w14:textId="77777777" w:rsidR="00A64AB0" w:rsidRPr="008C5719" w:rsidRDefault="00A64AB0" w:rsidP="008C5719">
      <w:pPr>
        <w:rPr>
          <w:rFonts w:cs="Arial"/>
        </w:rPr>
      </w:pPr>
      <w:r w:rsidRPr="008C5719">
        <w:rPr>
          <w:rFonts w:cs="Arial"/>
        </w:rPr>
        <w:t>Vertreter:in der Berufspraxis</w:t>
      </w:r>
    </w:p>
    <w:p w14:paraId="25528121" w14:textId="4C69F291" w:rsidR="008C5719" w:rsidRDefault="008C5719" w:rsidP="008C5719">
      <w:pPr>
        <w:pStyle w:val="Listenabsatz"/>
        <w:numPr>
          <w:ilvl w:val="0"/>
          <w:numId w:val="41"/>
        </w:numPr>
        <w:spacing w:line="240" w:lineRule="auto"/>
        <w:rPr>
          <w:rFonts w:cs="Arial"/>
        </w:rPr>
      </w:pPr>
      <w:r w:rsidRPr="008C5719">
        <w:rPr>
          <w:rFonts w:cs="Arial"/>
        </w:rPr>
        <w:t xml:space="preserve">Klaus Semmler, Psychologischer </w:t>
      </w:r>
      <w:r w:rsidR="002E31E6">
        <w:rPr>
          <w:rFonts w:cs="Arial"/>
        </w:rPr>
        <w:t>Psychotherapeut</w:t>
      </w:r>
      <w:r w:rsidR="00275CB6">
        <w:rPr>
          <w:rFonts w:cs="Arial"/>
        </w:rPr>
        <w:t xml:space="preserve"> </w:t>
      </w:r>
      <w:r w:rsidR="00B8421C">
        <w:rPr>
          <w:rFonts w:cs="Arial"/>
        </w:rPr>
        <w:t xml:space="preserve">Hamburg </w:t>
      </w:r>
    </w:p>
    <w:p w14:paraId="0FE0FA74" w14:textId="77777777" w:rsidR="002E31E6" w:rsidRPr="008C5719" w:rsidRDefault="002E31E6" w:rsidP="002E31E6">
      <w:pPr>
        <w:pStyle w:val="Listenabsatz"/>
        <w:numPr>
          <w:ilvl w:val="0"/>
          <w:numId w:val="0"/>
        </w:numPr>
        <w:spacing w:line="240" w:lineRule="auto"/>
        <w:ind w:left="720"/>
        <w:rPr>
          <w:rFonts w:cs="Arial"/>
        </w:rPr>
      </w:pPr>
    </w:p>
    <w:p w14:paraId="7977296D" w14:textId="77777777" w:rsidR="00A64AB0" w:rsidRPr="008C5719" w:rsidRDefault="00A64AB0" w:rsidP="008C5719">
      <w:pPr>
        <w:rPr>
          <w:rFonts w:cs="Arial"/>
        </w:rPr>
      </w:pPr>
      <w:r w:rsidRPr="008C5719">
        <w:rPr>
          <w:rFonts w:cs="Arial"/>
        </w:rPr>
        <w:t>Vertreter:in der Studierenden</w:t>
      </w:r>
    </w:p>
    <w:p w14:paraId="15AD11A4" w14:textId="4ED55469" w:rsidR="008C5719" w:rsidRPr="008C5719" w:rsidRDefault="008C5719" w:rsidP="008C5719">
      <w:pPr>
        <w:pStyle w:val="Listenabsatz"/>
        <w:numPr>
          <w:ilvl w:val="0"/>
          <w:numId w:val="41"/>
        </w:numPr>
        <w:spacing w:line="240" w:lineRule="auto"/>
        <w:rPr>
          <w:rFonts w:cs="Arial"/>
        </w:rPr>
      </w:pPr>
      <w:r w:rsidRPr="008C5719">
        <w:rPr>
          <w:rFonts w:cs="Arial"/>
        </w:rPr>
        <w:t xml:space="preserve">Hannah J. Jungmann, Universität Kassel </w:t>
      </w:r>
    </w:p>
    <w:p w14:paraId="6F3301F7" w14:textId="77777777" w:rsidR="00A64AB0" w:rsidRDefault="00A64AB0" w:rsidP="00FA4BF1">
      <w:pPr>
        <w:spacing w:before="0"/>
        <w:ind w:left="1134" w:hanging="397"/>
        <w:rPr>
          <w:rFonts w:cs="Arial"/>
        </w:rPr>
      </w:pPr>
    </w:p>
    <w:p w14:paraId="1C60ADBA" w14:textId="43F58C7D" w:rsidR="008C5719" w:rsidRDefault="008C5719">
      <w:pPr>
        <w:spacing w:before="0" w:line="240" w:lineRule="auto"/>
        <w:jc w:val="left"/>
        <w:rPr>
          <w:rFonts w:cs="Arial"/>
        </w:rPr>
      </w:pPr>
      <w:r>
        <w:rPr>
          <w:rFonts w:cs="Arial"/>
        </w:rPr>
        <w:br w:type="page"/>
      </w:r>
    </w:p>
    <w:p w14:paraId="130A06DA" w14:textId="27203BBA" w:rsidR="00091E5E" w:rsidRDefault="00091E5E" w:rsidP="00385FC8">
      <w:pPr>
        <w:pStyle w:val="berschrift1"/>
        <w:spacing w:before="0" w:after="120"/>
      </w:pPr>
      <w:bookmarkStart w:id="94" w:name="_Toc141346992"/>
      <w:r w:rsidRPr="00884895">
        <w:lastRenderedPageBreak/>
        <w:t>Daten</w:t>
      </w:r>
      <w:r w:rsidR="00CB166D">
        <w:t>blatt</w:t>
      </w:r>
      <w:bookmarkEnd w:id="94"/>
    </w:p>
    <w:p w14:paraId="55DD1C8E" w14:textId="399CCE22" w:rsidR="00602F7E" w:rsidRDefault="00602F7E" w:rsidP="00385FC8">
      <w:pPr>
        <w:pStyle w:val="berschrift2"/>
      </w:pPr>
      <w:bookmarkStart w:id="95" w:name="_Toc141346993"/>
      <w:r w:rsidRPr="00602F7E">
        <w:t>Daten zum Studiengang</w:t>
      </w:r>
      <w:bookmarkEnd w:id="95"/>
    </w:p>
    <w:p w14:paraId="4F9CB130" w14:textId="105C9256" w:rsidR="001848CC" w:rsidRPr="001848CC" w:rsidRDefault="00B256E8" w:rsidP="000E504B">
      <w:pPr>
        <w:spacing w:line="240" w:lineRule="auto"/>
        <w:rPr>
          <w:lang w:eastAsia="en-US"/>
        </w:rPr>
      </w:pPr>
      <w:r w:rsidRPr="00B256E8">
        <w:rPr>
          <w:noProof/>
        </w:rPr>
        <w:drawing>
          <wp:inline distT="0" distB="0" distL="0" distR="0" wp14:anchorId="5C633018" wp14:editId="40DCAC8B">
            <wp:extent cx="5939790" cy="3415665"/>
            <wp:effectExtent l="0" t="0" r="3810" b="0"/>
            <wp:docPr id="119662156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3415665"/>
                    </a:xfrm>
                    <a:prstGeom prst="rect">
                      <a:avLst/>
                    </a:prstGeom>
                    <a:noFill/>
                    <a:ln>
                      <a:noFill/>
                    </a:ln>
                  </pic:spPr>
                </pic:pic>
              </a:graphicData>
            </a:graphic>
          </wp:inline>
        </w:drawing>
      </w:r>
    </w:p>
    <w:p w14:paraId="035FBD01" w14:textId="0D3FDFEA" w:rsidR="00C62FEF" w:rsidRDefault="00C62FEF" w:rsidP="000E504B">
      <w:pPr>
        <w:spacing w:line="240" w:lineRule="auto"/>
        <w:rPr>
          <w:rFonts w:cs="Arial"/>
          <w:sz w:val="20"/>
          <w:szCs w:val="20"/>
        </w:rPr>
      </w:pPr>
    </w:p>
    <w:p w14:paraId="191EC8E5" w14:textId="5A217BDF" w:rsidR="00AE583D" w:rsidRPr="00AE583D" w:rsidRDefault="00B256E8" w:rsidP="000E504B">
      <w:pPr>
        <w:spacing w:line="240" w:lineRule="auto"/>
        <w:rPr>
          <w:rFonts w:cs="Arial"/>
          <w:sz w:val="20"/>
          <w:szCs w:val="20"/>
        </w:rPr>
      </w:pPr>
      <w:r w:rsidRPr="00B256E8">
        <w:rPr>
          <w:rFonts w:cs="Arial"/>
          <w:noProof/>
          <w:sz w:val="20"/>
          <w:szCs w:val="20"/>
        </w:rPr>
        <w:lastRenderedPageBreak/>
        <w:drawing>
          <wp:inline distT="0" distB="0" distL="0" distR="0" wp14:anchorId="77E92E23" wp14:editId="7F6981D5">
            <wp:extent cx="5939790" cy="4935855"/>
            <wp:effectExtent l="0" t="0" r="3810" b="0"/>
            <wp:docPr id="86480275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4935855"/>
                    </a:xfrm>
                    <a:prstGeom prst="rect">
                      <a:avLst/>
                    </a:prstGeom>
                    <a:noFill/>
                    <a:ln>
                      <a:noFill/>
                    </a:ln>
                  </pic:spPr>
                </pic:pic>
              </a:graphicData>
            </a:graphic>
          </wp:inline>
        </w:drawing>
      </w:r>
    </w:p>
    <w:p w14:paraId="617320E3" w14:textId="6CD41C05" w:rsidR="00602F7E" w:rsidRDefault="00602F7E" w:rsidP="000E504B">
      <w:pPr>
        <w:spacing w:line="240" w:lineRule="auto"/>
        <w:rPr>
          <w:rFonts w:cs="Arial"/>
          <w:sz w:val="14"/>
          <w:szCs w:val="14"/>
          <w:lang w:eastAsia="en-US"/>
        </w:rPr>
      </w:pPr>
    </w:p>
    <w:p w14:paraId="44518F05" w14:textId="35B606D0" w:rsidR="001848CC" w:rsidRPr="001848CC" w:rsidRDefault="00B256E8" w:rsidP="000E504B">
      <w:pPr>
        <w:spacing w:line="240" w:lineRule="auto"/>
        <w:rPr>
          <w:rFonts w:cs="Arial"/>
          <w:sz w:val="14"/>
          <w:szCs w:val="14"/>
          <w:lang w:eastAsia="en-US"/>
        </w:rPr>
      </w:pPr>
      <w:r w:rsidRPr="00B256E8">
        <w:rPr>
          <w:rFonts w:cs="Arial"/>
          <w:noProof/>
          <w:sz w:val="14"/>
          <w:szCs w:val="14"/>
        </w:rPr>
        <w:lastRenderedPageBreak/>
        <w:drawing>
          <wp:inline distT="0" distB="0" distL="0" distR="0" wp14:anchorId="21CA32A6" wp14:editId="11365C86">
            <wp:extent cx="5939790" cy="3884930"/>
            <wp:effectExtent l="0" t="0" r="3810" b="1270"/>
            <wp:docPr id="200280808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84930"/>
                    </a:xfrm>
                    <a:prstGeom prst="rect">
                      <a:avLst/>
                    </a:prstGeom>
                    <a:noFill/>
                    <a:ln>
                      <a:noFill/>
                    </a:ln>
                  </pic:spPr>
                </pic:pic>
              </a:graphicData>
            </a:graphic>
          </wp:inline>
        </w:drawing>
      </w:r>
    </w:p>
    <w:p w14:paraId="76F2D288" w14:textId="77777777" w:rsidR="00091E5E" w:rsidRPr="00884895" w:rsidRDefault="00091E5E" w:rsidP="00385FC8">
      <w:pPr>
        <w:pStyle w:val="berschrift2"/>
        <w:spacing w:before="0" w:after="120"/>
      </w:pPr>
      <w:bookmarkStart w:id="96" w:name="_Toc141346994"/>
      <w:r w:rsidRPr="00884895">
        <w:t>Daten zur Akkreditierung</w:t>
      </w:r>
      <w:bookmarkEnd w:id="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091E5E" w:rsidRPr="00884895" w14:paraId="0DD74160" w14:textId="77777777" w:rsidTr="00650C36">
        <w:tc>
          <w:tcPr>
            <w:tcW w:w="4673" w:type="dxa"/>
          </w:tcPr>
          <w:p w14:paraId="5C8390C8" w14:textId="4EBF8F54" w:rsidR="00091E5E" w:rsidRPr="00164CDF" w:rsidRDefault="007E4604" w:rsidP="000E504B">
            <w:pPr>
              <w:spacing w:line="240" w:lineRule="auto"/>
              <w:rPr>
                <w:sz w:val="20"/>
                <w:szCs w:val="20"/>
                <w:lang w:eastAsia="en-US"/>
              </w:rPr>
            </w:pPr>
            <w:bookmarkStart w:id="97" w:name="_Hlk32567304"/>
            <w:r w:rsidRPr="00164CDF">
              <w:rPr>
                <w:sz w:val="20"/>
                <w:szCs w:val="20"/>
                <w:lang w:eastAsia="en-US"/>
              </w:rPr>
              <w:t>Vertragsschluss Hochschule – Agentur:</w:t>
            </w:r>
          </w:p>
        </w:tc>
        <w:tc>
          <w:tcPr>
            <w:tcW w:w="4387" w:type="dxa"/>
          </w:tcPr>
          <w:p w14:paraId="3E563FB8" w14:textId="791A1F57" w:rsidR="00091E5E" w:rsidRPr="00164CDF" w:rsidRDefault="00663C63" w:rsidP="000E504B">
            <w:pPr>
              <w:spacing w:line="240" w:lineRule="auto"/>
              <w:rPr>
                <w:sz w:val="20"/>
                <w:szCs w:val="20"/>
                <w:lang w:eastAsia="en-US"/>
              </w:rPr>
            </w:pPr>
            <w:sdt>
              <w:sdtPr>
                <w:rPr>
                  <w:sz w:val="20"/>
                  <w:szCs w:val="20"/>
                  <w:lang w:eastAsia="en-US"/>
                </w:rPr>
                <w:id w:val="-263617456"/>
                <w:date w:fullDate="2023-07-17T00:00:00Z">
                  <w:dateFormat w:val="dd.MM.yyyy"/>
                  <w:lid w:val="de-DE"/>
                  <w:storeMappedDataAs w:val="dateTime"/>
                  <w:calendar w:val="gregorian"/>
                </w:date>
              </w:sdtPr>
              <w:sdtEndPr/>
              <w:sdtContent>
                <w:r w:rsidR="00164CDF" w:rsidRPr="00164CDF">
                  <w:rPr>
                    <w:sz w:val="20"/>
                    <w:szCs w:val="20"/>
                    <w:lang w:eastAsia="en-US"/>
                  </w:rPr>
                  <w:t>17.07.2023</w:t>
                </w:r>
              </w:sdtContent>
            </w:sdt>
          </w:p>
        </w:tc>
      </w:tr>
      <w:tr w:rsidR="007E4604" w:rsidRPr="00884895" w14:paraId="3CEFAB4A" w14:textId="77777777" w:rsidTr="00650C36">
        <w:tc>
          <w:tcPr>
            <w:tcW w:w="4673" w:type="dxa"/>
          </w:tcPr>
          <w:p w14:paraId="15F3B6F3" w14:textId="68A3EC5B" w:rsidR="007E4604" w:rsidRPr="00884895" w:rsidRDefault="007E4604" w:rsidP="000E504B">
            <w:pPr>
              <w:spacing w:line="240" w:lineRule="auto"/>
              <w:rPr>
                <w:sz w:val="20"/>
                <w:szCs w:val="20"/>
                <w:lang w:eastAsia="en-US"/>
              </w:rPr>
            </w:pPr>
            <w:r w:rsidRPr="007E4604">
              <w:rPr>
                <w:sz w:val="20"/>
                <w:szCs w:val="20"/>
                <w:lang w:eastAsia="en-US"/>
              </w:rPr>
              <w:t>Eingang der Selbstdokumentation</w:t>
            </w:r>
            <w:r>
              <w:rPr>
                <w:sz w:val="20"/>
                <w:szCs w:val="20"/>
                <w:lang w:eastAsia="en-US"/>
              </w:rPr>
              <w:t>:</w:t>
            </w:r>
          </w:p>
        </w:tc>
        <w:tc>
          <w:tcPr>
            <w:tcW w:w="4387" w:type="dxa"/>
          </w:tcPr>
          <w:p w14:paraId="41BE4F29" w14:textId="4F4E8548" w:rsidR="007E4604" w:rsidRPr="00164CDF" w:rsidRDefault="00663C63" w:rsidP="000E504B">
            <w:pPr>
              <w:spacing w:line="240" w:lineRule="auto"/>
              <w:rPr>
                <w:sz w:val="20"/>
                <w:szCs w:val="20"/>
                <w:lang w:eastAsia="en-US"/>
              </w:rPr>
            </w:pPr>
            <w:sdt>
              <w:sdtPr>
                <w:rPr>
                  <w:sz w:val="20"/>
                  <w:szCs w:val="20"/>
                  <w:lang w:eastAsia="en-US"/>
                </w:rPr>
                <w:id w:val="1971861200"/>
                <w:date w:fullDate="2023-06-27T00:00:00Z">
                  <w:dateFormat w:val="dd.MM.yyyy"/>
                  <w:lid w:val="de-DE"/>
                  <w:storeMappedDataAs w:val="dateTime"/>
                  <w:calendar w:val="gregorian"/>
                </w:date>
              </w:sdtPr>
              <w:sdtEndPr/>
              <w:sdtContent>
                <w:r w:rsidR="00164CDF" w:rsidRPr="00164CDF">
                  <w:rPr>
                    <w:sz w:val="20"/>
                    <w:szCs w:val="20"/>
                    <w:lang w:eastAsia="en-US"/>
                  </w:rPr>
                  <w:t>27.06.2023</w:t>
                </w:r>
              </w:sdtContent>
            </w:sdt>
          </w:p>
        </w:tc>
      </w:tr>
      <w:tr w:rsidR="007E4604" w:rsidRPr="00884895" w14:paraId="7C07A2D5" w14:textId="77777777" w:rsidTr="00650C36">
        <w:tc>
          <w:tcPr>
            <w:tcW w:w="4673" w:type="dxa"/>
          </w:tcPr>
          <w:p w14:paraId="518B1617" w14:textId="77777777" w:rsidR="007E4604" w:rsidRPr="00884895" w:rsidRDefault="007E4604" w:rsidP="000E504B">
            <w:pPr>
              <w:spacing w:line="240" w:lineRule="auto"/>
              <w:rPr>
                <w:sz w:val="20"/>
                <w:szCs w:val="20"/>
                <w:lang w:eastAsia="en-US"/>
              </w:rPr>
            </w:pPr>
            <w:r w:rsidRPr="007E4604">
              <w:rPr>
                <w:sz w:val="20"/>
                <w:szCs w:val="20"/>
                <w:lang w:eastAsia="en-US"/>
              </w:rPr>
              <w:t>Zeitpunkt der Begehung:</w:t>
            </w:r>
          </w:p>
        </w:tc>
        <w:tc>
          <w:tcPr>
            <w:tcW w:w="4387" w:type="dxa"/>
          </w:tcPr>
          <w:p w14:paraId="5FDB52E2" w14:textId="443777B2" w:rsidR="007E4604" w:rsidRPr="00164CDF" w:rsidRDefault="00FD5290" w:rsidP="00275CB6">
            <w:pPr>
              <w:spacing w:line="240" w:lineRule="auto"/>
              <w:rPr>
                <w:sz w:val="20"/>
                <w:szCs w:val="20"/>
                <w:lang w:eastAsia="en-US"/>
              </w:rPr>
            </w:pPr>
            <w:r>
              <w:rPr>
                <w:sz w:val="20"/>
                <w:szCs w:val="20"/>
                <w:lang w:eastAsia="en-US"/>
              </w:rPr>
              <w:t>21.09.2023</w:t>
            </w:r>
          </w:p>
        </w:tc>
      </w:tr>
      <w:bookmarkEnd w:id="97"/>
      <w:tr w:rsidR="007E4604" w:rsidRPr="00884895" w14:paraId="10160F6E" w14:textId="77777777" w:rsidTr="00650C36">
        <w:tc>
          <w:tcPr>
            <w:tcW w:w="4673" w:type="dxa"/>
          </w:tcPr>
          <w:p w14:paraId="696F1853" w14:textId="77777777" w:rsidR="007E4604" w:rsidRDefault="007E4604" w:rsidP="000E504B">
            <w:pPr>
              <w:spacing w:after="120" w:line="240" w:lineRule="auto"/>
              <w:rPr>
                <w:sz w:val="20"/>
                <w:szCs w:val="20"/>
                <w:lang w:eastAsia="en-US"/>
              </w:rPr>
            </w:pPr>
            <w:r w:rsidRPr="00884895">
              <w:rPr>
                <w:sz w:val="20"/>
                <w:szCs w:val="20"/>
                <w:lang w:eastAsia="en-US"/>
              </w:rPr>
              <w:t>Erstakkreditiert am</w:t>
            </w:r>
            <w:r>
              <w:rPr>
                <w:sz w:val="20"/>
                <w:szCs w:val="20"/>
                <w:lang w:eastAsia="en-US"/>
              </w:rPr>
              <w:t>:</w:t>
            </w:r>
          </w:p>
          <w:p w14:paraId="66051EB0" w14:textId="60901F48" w:rsidR="007E4604" w:rsidRPr="00884895" w:rsidRDefault="004E18CB" w:rsidP="000E504B">
            <w:pPr>
              <w:spacing w:after="120" w:line="240" w:lineRule="auto"/>
              <w:rPr>
                <w:sz w:val="20"/>
                <w:szCs w:val="20"/>
                <w:lang w:eastAsia="en-US"/>
              </w:rPr>
            </w:pPr>
            <w:r>
              <w:rPr>
                <w:sz w:val="20"/>
                <w:szCs w:val="20"/>
                <w:lang w:eastAsia="en-US"/>
              </w:rPr>
              <w:t xml:space="preserve">Begutachtung </w:t>
            </w:r>
            <w:r w:rsidR="007E4604" w:rsidRPr="00884895">
              <w:rPr>
                <w:sz w:val="20"/>
                <w:szCs w:val="20"/>
                <w:lang w:eastAsia="en-US"/>
              </w:rPr>
              <w:t>durch Agentur</w:t>
            </w:r>
            <w:r w:rsidR="007E4604">
              <w:rPr>
                <w:sz w:val="20"/>
                <w:szCs w:val="20"/>
                <w:lang w:eastAsia="en-US"/>
              </w:rPr>
              <w:t>:</w:t>
            </w:r>
            <w:r w:rsidR="00164CDF">
              <w:rPr>
                <w:sz w:val="20"/>
                <w:szCs w:val="20"/>
                <w:lang w:eastAsia="en-US"/>
              </w:rPr>
              <w:t xml:space="preserve"> </w:t>
            </w:r>
          </w:p>
        </w:tc>
        <w:tc>
          <w:tcPr>
            <w:tcW w:w="4387" w:type="dxa"/>
          </w:tcPr>
          <w:p w14:paraId="6F4BEEB9" w14:textId="77777777" w:rsidR="00FD5290" w:rsidRDefault="001A2998" w:rsidP="000E504B">
            <w:pPr>
              <w:spacing w:after="120" w:line="240" w:lineRule="auto"/>
              <w:rPr>
                <w:sz w:val="20"/>
                <w:szCs w:val="20"/>
                <w:lang w:eastAsia="en-US"/>
              </w:rPr>
            </w:pPr>
            <w:r w:rsidRPr="00164CDF">
              <w:rPr>
                <w:sz w:val="20"/>
                <w:szCs w:val="20"/>
                <w:lang w:eastAsia="en-US"/>
              </w:rPr>
              <w:t xml:space="preserve">Von </w:t>
            </w:r>
            <w:r w:rsidR="00164CDF" w:rsidRPr="00164CDF">
              <w:rPr>
                <w:sz w:val="20"/>
                <w:szCs w:val="20"/>
                <w:lang w:eastAsia="en-US"/>
              </w:rPr>
              <w:t>21</w:t>
            </w:r>
            <w:r w:rsidR="00164CDF">
              <w:rPr>
                <w:sz w:val="20"/>
                <w:szCs w:val="20"/>
                <w:lang w:eastAsia="en-US"/>
              </w:rPr>
              <w:t>.</w:t>
            </w:r>
            <w:r w:rsidR="00164CDF" w:rsidRPr="00164CDF">
              <w:rPr>
                <w:sz w:val="20"/>
                <w:szCs w:val="20"/>
                <w:lang w:eastAsia="en-US"/>
              </w:rPr>
              <w:t>09</w:t>
            </w:r>
            <w:r w:rsidR="00164CDF">
              <w:rPr>
                <w:sz w:val="20"/>
                <w:szCs w:val="20"/>
                <w:lang w:eastAsia="en-US"/>
              </w:rPr>
              <w:t>.</w:t>
            </w:r>
            <w:r w:rsidR="00164CDF" w:rsidRPr="00164CDF">
              <w:rPr>
                <w:sz w:val="20"/>
                <w:szCs w:val="20"/>
                <w:lang w:eastAsia="en-US"/>
              </w:rPr>
              <w:t>2011</w:t>
            </w:r>
            <w:r w:rsidRPr="00164CDF">
              <w:rPr>
                <w:sz w:val="20"/>
                <w:szCs w:val="20"/>
                <w:lang w:eastAsia="en-US"/>
              </w:rPr>
              <w:t xml:space="preserve"> bis </w:t>
            </w:r>
            <w:r w:rsidR="00164CDF" w:rsidRPr="00164CDF">
              <w:rPr>
                <w:sz w:val="20"/>
                <w:szCs w:val="20"/>
                <w:lang w:eastAsia="en-US"/>
              </w:rPr>
              <w:t>30</w:t>
            </w:r>
            <w:r w:rsidR="00164CDF">
              <w:rPr>
                <w:sz w:val="20"/>
                <w:szCs w:val="20"/>
                <w:lang w:eastAsia="en-US"/>
              </w:rPr>
              <w:t>.</w:t>
            </w:r>
            <w:r w:rsidR="00164CDF" w:rsidRPr="00164CDF">
              <w:rPr>
                <w:sz w:val="20"/>
                <w:szCs w:val="20"/>
                <w:lang w:eastAsia="en-US"/>
              </w:rPr>
              <w:t>09</w:t>
            </w:r>
            <w:r w:rsidR="00164CDF">
              <w:rPr>
                <w:sz w:val="20"/>
                <w:szCs w:val="20"/>
                <w:lang w:eastAsia="en-US"/>
              </w:rPr>
              <w:t>.</w:t>
            </w:r>
            <w:r w:rsidR="00164CDF" w:rsidRPr="00164CDF">
              <w:rPr>
                <w:sz w:val="20"/>
                <w:szCs w:val="20"/>
                <w:lang w:eastAsia="en-US"/>
              </w:rPr>
              <w:t>2016</w:t>
            </w:r>
            <w:r w:rsidR="00FD5290">
              <w:rPr>
                <w:sz w:val="20"/>
                <w:szCs w:val="20"/>
                <w:lang w:eastAsia="en-US"/>
              </w:rPr>
              <w:t xml:space="preserve"> </w:t>
            </w:r>
          </w:p>
          <w:p w14:paraId="6D772D69" w14:textId="3DFB5DD8" w:rsidR="007E4604" w:rsidRPr="00164CDF" w:rsidRDefault="00FD5290" w:rsidP="000E504B">
            <w:pPr>
              <w:spacing w:after="120" w:line="240" w:lineRule="auto"/>
              <w:rPr>
                <w:sz w:val="20"/>
                <w:szCs w:val="20"/>
                <w:lang w:eastAsia="en-US"/>
              </w:rPr>
            </w:pPr>
            <w:r>
              <w:rPr>
                <w:sz w:val="20"/>
                <w:szCs w:val="20"/>
                <w:lang w:eastAsia="en-US"/>
              </w:rPr>
              <w:t>AHPGS</w:t>
            </w:r>
          </w:p>
        </w:tc>
      </w:tr>
      <w:tr w:rsidR="00091E5E" w:rsidRPr="00884895" w14:paraId="48F01535" w14:textId="77777777" w:rsidTr="00650C36">
        <w:tc>
          <w:tcPr>
            <w:tcW w:w="4673" w:type="dxa"/>
          </w:tcPr>
          <w:p w14:paraId="395AB339" w14:textId="691EB51D" w:rsidR="007E4604" w:rsidRDefault="00091E5E" w:rsidP="000E504B">
            <w:pPr>
              <w:spacing w:after="120" w:line="240" w:lineRule="auto"/>
              <w:rPr>
                <w:sz w:val="20"/>
                <w:szCs w:val="20"/>
                <w:lang w:eastAsia="en-US"/>
              </w:rPr>
            </w:pPr>
            <w:proofErr w:type="spellStart"/>
            <w:r w:rsidRPr="00884895">
              <w:rPr>
                <w:sz w:val="20"/>
                <w:szCs w:val="20"/>
                <w:lang w:eastAsia="en-US"/>
              </w:rPr>
              <w:t>Reakkreditiert</w:t>
            </w:r>
            <w:proofErr w:type="spellEnd"/>
            <w:r w:rsidRPr="00884895">
              <w:rPr>
                <w:sz w:val="20"/>
                <w:szCs w:val="20"/>
                <w:lang w:eastAsia="en-US"/>
              </w:rPr>
              <w:t xml:space="preserve"> </w:t>
            </w:r>
            <w:r w:rsidR="000233B1" w:rsidRPr="00884895">
              <w:rPr>
                <w:sz w:val="20"/>
                <w:szCs w:val="20"/>
                <w:lang w:eastAsia="en-US"/>
              </w:rPr>
              <w:t>(1)</w:t>
            </w:r>
            <w:r w:rsidR="007E4604">
              <w:rPr>
                <w:sz w:val="20"/>
                <w:szCs w:val="20"/>
                <w:lang w:eastAsia="en-US"/>
              </w:rPr>
              <w:t>:</w:t>
            </w:r>
          </w:p>
          <w:p w14:paraId="679A5763" w14:textId="2E0D1799" w:rsidR="00091E5E" w:rsidRPr="00884895" w:rsidRDefault="004E18CB" w:rsidP="000E504B">
            <w:pPr>
              <w:spacing w:after="120" w:line="240" w:lineRule="auto"/>
              <w:rPr>
                <w:sz w:val="20"/>
                <w:szCs w:val="20"/>
                <w:lang w:eastAsia="en-US"/>
              </w:rPr>
            </w:pPr>
            <w:r>
              <w:rPr>
                <w:sz w:val="20"/>
                <w:szCs w:val="20"/>
                <w:lang w:eastAsia="en-US"/>
              </w:rPr>
              <w:t xml:space="preserve">Begutachtung </w:t>
            </w:r>
            <w:r w:rsidR="00F87682" w:rsidRPr="00884895">
              <w:rPr>
                <w:sz w:val="20"/>
                <w:szCs w:val="20"/>
                <w:lang w:eastAsia="en-US"/>
              </w:rPr>
              <w:t>durch Agentur</w:t>
            </w:r>
            <w:r w:rsidR="007E4604">
              <w:rPr>
                <w:sz w:val="20"/>
                <w:szCs w:val="20"/>
                <w:lang w:eastAsia="en-US"/>
              </w:rPr>
              <w:t>:</w:t>
            </w:r>
            <w:r w:rsidR="00164CDF">
              <w:rPr>
                <w:sz w:val="20"/>
                <w:szCs w:val="20"/>
                <w:lang w:eastAsia="en-US"/>
              </w:rPr>
              <w:t xml:space="preserve"> </w:t>
            </w:r>
          </w:p>
        </w:tc>
        <w:tc>
          <w:tcPr>
            <w:tcW w:w="4387" w:type="dxa"/>
          </w:tcPr>
          <w:p w14:paraId="07DF1764" w14:textId="77777777" w:rsidR="0033330C" w:rsidRDefault="007E4604" w:rsidP="000E504B">
            <w:pPr>
              <w:spacing w:after="120" w:line="240" w:lineRule="auto"/>
              <w:rPr>
                <w:sz w:val="20"/>
                <w:szCs w:val="20"/>
                <w:lang w:eastAsia="en-US"/>
              </w:rPr>
            </w:pPr>
            <w:r w:rsidRPr="00164CDF">
              <w:rPr>
                <w:sz w:val="20"/>
                <w:szCs w:val="20"/>
                <w:lang w:eastAsia="en-US"/>
              </w:rPr>
              <w:t xml:space="preserve">Von </w:t>
            </w:r>
            <w:sdt>
              <w:sdtPr>
                <w:rPr>
                  <w:sz w:val="20"/>
                  <w:szCs w:val="20"/>
                  <w:lang w:eastAsia="en-US"/>
                </w:rPr>
                <w:id w:val="-1387796412"/>
                <w:date w:fullDate="2016-09-22T00:00:00Z">
                  <w:dateFormat w:val="dd.MM.yyyy"/>
                  <w:lid w:val="de-DE"/>
                  <w:storeMappedDataAs w:val="dateTime"/>
                  <w:calendar w:val="gregorian"/>
                </w:date>
              </w:sdtPr>
              <w:sdtEndPr/>
              <w:sdtContent>
                <w:r w:rsidR="00164CDF">
                  <w:rPr>
                    <w:sz w:val="20"/>
                    <w:szCs w:val="20"/>
                    <w:lang w:eastAsia="en-US"/>
                  </w:rPr>
                  <w:t>22.09.2016</w:t>
                </w:r>
              </w:sdtContent>
            </w:sdt>
            <w:r w:rsidRPr="00164CDF">
              <w:rPr>
                <w:sz w:val="20"/>
                <w:szCs w:val="20"/>
                <w:lang w:eastAsia="en-US"/>
              </w:rPr>
              <w:t xml:space="preserve"> bis</w:t>
            </w:r>
            <w:r w:rsidR="00FD5290">
              <w:rPr>
                <w:sz w:val="20"/>
                <w:szCs w:val="20"/>
                <w:lang w:eastAsia="en-US"/>
              </w:rPr>
              <w:t xml:space="preserve"> 30.09.2023</w:t>
            </w:r>
          </w:p>
          <w:p w14:paraId="27176E52" w14:textId="43367A6F" w:rsidR="00FD5290" w:rsidRPr="00164CDF" w:rsidRDefault="00FD5290" w:rsidP="000E504B">
            <w:pPr>
              <w:spacing w:after="120" w:line="240" w:lineRule="auto"/>
              <w:rPr>
                <w:sz w:val="20"/>
                <w:szCs w:val="20"/>
                <w:lang w:eastAsia="en-US"/>
              </w:rPr>
            </w:pPr>
            <w:r>
              <w:rPr>
                <w:sz w:val="20"/>
                <w:szCs w:val="20"/>
                <w:lang w:eastAsia="en-US"/>
              </w:rPr>
              <w:t>AHPGS</w:t>
            </w:r>
          </w:p>
        </w:tc>
      </w:tr>
      <w:tr w:rsidR="000233B1" w:rsidRPr="00884895" w14:paraId="5C375F5E" w14:textId="77777777" w:rsidTr="00650C36">
        <w:tc>
          <w:tcPr>
            <w:tcW w:w="4673" w:type="dxa"/>
          </w:tcPr>
          <w:p w14:paraId="3D6A6ECA" w14:textId="58EBCCDA" w:rsidR="007E4604" w:rsidRDefault="008C5719" w:rsidP="000E504B">
            <w:pPr>
              <w:spacing w:after="120" w:line="240" w:lineRule="auto"/>
              <w:rPr>
                <w:sz w:val="20"/>
                <w:szCs w:val="20"/>
                <w:lang w:eastAsia="en-US"/>
              </w:rPr>
            </w:pPr>
            <w:r>
              <w:rPr>
                <w:sz w:val="20"/>
                <w:szCs w:val="20"/>
                <w:lang w:eastAsia="en-US"/>
              </w:rPr>
              <w:t xml:space="preserve">Vorläufig </w:t>
            </w:r>
            <w:proofErr w:type="spellStart"/>
            <w:r w:rsidR="007E4604" w:rsidRPr="00884895">
              <w:rPr>
                <w:sz w:val="20"/>
                <w:szCs w:val="20"/>
                <w:lang w:eastAsia="en-US"/>
              </w:rPr>
              <w:t>Reakkreditiert</w:t>
            </w:r>
            <w:proofErr w:type="spellEnd"/>
            <w:r w:rsidR="007E4604" w:rsidRPr="00884895">
              <w:rPr>
                <w:sz w:val="20"/>
                <w:szCs w:val="20"/>
                <w:lang w:eastAsia="en-US"/>
              </w:rPr>
              <w:t xml:space="preserve"> (</w:t>
            </w:r>
            <w:r w:rsidR="007E4604">
              <w:rPr>
                <w:sz w:val="20"/>
                <w:szCs w:val="20"/>
                <w:lang w:eastAsia="en-US"/>
              </w:rPr>
              <w:t>2</w:t>
            </w:r>
            <w:r w:rsidR="007E4604" w:rsidRPr="00884895">
              <w:rPr>
                <w:sz w:val="20"/>
                <w:szCs w:val="20"/>
                <w:lang w:eastAsia="en-US"/>
              </w:rPr>
              <w:t>)</w:t>
            </w:r>
            <w:r w:rsidR="007E4604">
              <w:rPr>
                <w:sz w:val="20"/>
                <w:szCs w:val="20"/>
                <w:lang w:eastAsia="en-US"/>
              </w:rPr>
              <w:t>:</w:t>
            </w:r>
          </w:p>
          <w:p w14:paraId="372921BC" w14:textId="542E4794" w:rsidR="000233B1" w:rsidRPr="00884895" w:rsidRDefault="004E18CB" w:rsidP="000E504B">
            <w:pPr>
              <w:spacing w:after="120" w:line="240" w:lineRule="auto"/>
              <w:rPr>
                <w:sz w:val="20"/>
                <w:szCs w:val="20"/>
                <w:lang w:eastAsia="en-US"/>
              </w:rPr>
            </w:pPr>
            <w:r>
              <w:rPr>
                <w:sz w:val="20"/>
                <w:szCs w:val="20"/>
                <w:lang w:eastAsia="en-US"/>
              </w:rPr>
              <w:t xml:space="preserve">Begutachtung </w:t>
            </w:r>
            <w:r w:rsidR="007E4604">
              <w:rPr>
                <w:sz w:val="20"/>
                <w:szCs w:val="20"/>
                <w:lang w:eastAsia="en-US"/>
              </w:rPr>
              <w:t>d</w:t>
            </w:r>
            <w:r w:rsidR="007E4604" w:rsidRPr="00884895">
              <w:rPr>
                <w:sz w:val="20"/>
                <w:szCs w:val="20"/>
                <w:lang w:eastAsia="en-US"/>
              </w:rPr>
              <w:t>urch Agentur</w:t>
            </w:r>
            <w:r w:rsidR="007E4604">
              <w:rPr>
                <w:sz w:val="20"/>
                <w:szCs w:val="20"/>
                <w:lang w:eastAsia="en-US"/>
              </w:rPr>
              <w:t>:</w:t>
            </w:r>
          </w:p>
        </w:tc>
        <w:tc>
          <w:tcPr>
            <w:tcW w:w="4387" w:type="dxa"/>
          </w:tcPr>
          <w:p w14:paraId="73F67840" w14:textId="71F0E42B" w:rsidR="0033330C" w:rsidRPr="00164CDF" w:rsidRDefault="0033330C" w:rsidP="000E504B">
            <w:pPr>
              <w:spacing w:after="120" w:line="240" w:lineRule="auto"/>
              <w:rPr>
                <w:sz w:val="20"/>
                <w:szCs w:val="20"/>
                <w:lang w:eastAsia="en-US"/>
              </w:rPr>
            </w:pPr>
            <w:r w:rsidRPr="00164CDF">
              <w:rPr>
                <w:sz w:val="20"/>
                <w:szCs w:val="20"/>
                <w:lang w:eastAsia="en-US"/>
              </w:rPr>
              <w:t xml:space="preserve">Von </w:t>
            </w:r>
            <w:sdt>
              <w:sdtPr>
                <w:rPr>
                  <w:sz w:val="20"/>
                  <w:szCs w:val="20"/>
                  <w:lang w:eastAsia="en-US"/>
                </w:rPr>
                <w:id w:val="1773508933"/>
                <w:date w:fullDate="2023-09-18T00:00:00Z">
                  <w:dateFormat w:val="dd.MM.yyyy"/>
                  <w:lid w:val="de-DE"/>
                  <w:storeMappedDataAs w:val="dateTime"/>
                  <w:calendar w:val="gregorian"/>
                </w:date>
              </w:sdtPr>
              <w:sdtEndPr/>
              <w:sdtContent>
                <w:r w:rsidR="008C5719">
                  <w:rPr>
                    <w:sz w:val="20"/>
                    <w:szCs w:val="20"/>
                    <w:lang w:eastAsia="en-US"/>
                  </w:rPr>
                  <w:t>18.09.2023</w:t>
                </w:r>
              </w:sdtContent>
            </w:sdt>
            <w:r w:rsidRPr="00164CDF">
              <w:rPr>
                <w:sz w:val="20"/>
                <w:szCs w:val="20"/>
                <w:lang w:eastAsia="en-US"/>
              </w:rPr>
              <w:t xml:space="preserve"> bis </w:t>
            </w:r>
            <w:sdt>
              <w:sdtPr>
                <w:rPr>
                  <w:sz w:val="20"/>
                  <w:szCs w:val="20"/>
                  <w:lang w:eastAsia="en-US"/>
                </w:rPr>
                <w:id w:val="1308125376"/>
                <w:date w:fullDate="2024-09-30T00:00:00Z">
                  <w:dateFormat w:val="dd.MM.yyyy"/>
                  <w:lid w:val="de-DE"/>
                  <w:storeMappedDataAs w:val="dateTime"/>
                  <w:calendar w:val="gregorian"/>
                </w:date>
              </w:sdtPr>
              <w:sdtEndPr/>
              <w:sdtContent>
                <w:r w:rsidR="008C5719">
                  <w:rPr>
                    <w:sz w:val="20"/>
                    <w:szCs w:val="20"/>
                    <w:lang w:eastAsia="en-US"/>
                  </w:rPr>
                  <w:t>30.09.2024</w:t>
                </w:r>
              </w:sdtContent>
            </w:sdt>
          </w:p>
          <w:p w14:paraId="400007C8" w14:textId="4D47322F" w:rsidR="0033330C" w:rsidRPr="00164CDF" w:rsidRDefault="00FD5290" w:rsidP="000E504B">
            <w:pPr>
              <w:spacing w:after="120" w:line="240" w:lineRule="auto"/>
              <w:rPr>
                <w:sz w:val="20"/>
                <w:szCs w:val="20"/>
                <w:lang w:eastAsia="en-US"/>
              </w:rPr>
            </w:pPr>
            <w:r>
              <w:rPr>
                <w:sz w:val="20"/>
                <w:szCs w:val="20"/>
                <w:lang w:eastAsia="en-US"/>
              </w:rPr>
              <w:t>AHPGS</w:t>
            </w:r>
          </w:p>
        </w:tc>
      </w:tr>
      <w:tr w:rsidR="008C5719" w:rsidRPr="00884895" w14:paraId="633C6F7D" w14:textId="77777777" w:rsidTr="00650C36">
        <w:tc>
          <w:tcPr>
            <w:tcW w:w="4673" w:type="dxa"/>
          </w:tcPr>
          <w:p w14:paraId="2DFC1D99" w14:textId="5A170548" w:rsidR="008C5719" w:rsidRDefault="008C5719" w:rsidP="008C5719">
            <w:pPr>
              <w:spacing w:after="120" w:line="240" w:lineRule="auto"/>
              <w:rPr>
                <w:sz w:val="20"/>
                <w:szCs w:val="20"/>
                <w:lang w:eastAsia="en-US"/>
              </w:rPr>
            </w:pPr>
            <w:proofErr w:type="spellStart"/>
            <w:r w:rsidRPr="00884895">
              <w:rPr>
                <w:sz w:val="20"/>
                <w:szCs w:val="20"/>
                <w:lang w:eastAsia="en-US"/>
              </w:rPr>
              <w:t>Reakkreditiert</w:t>
            </w:r>
            <w:proofErr w:type="spellEnd"/>
            <w:r w:rsidRPr="00884895">
              <w:rPr>
                <w:sz w:val="20"/>
                <w:szCs w:val="20"/>
                <w:lang w:eastAsia="en-US"/>
              </w:rPr>
              <w:t xml:space="preserve"> (</w:t>
            </w:r>
            <w:r>
              <w:rPr>
                <w:sz w:val="20"/>
                <w:szCs w:val="20"/>
                <w:lang w:eastAsia="en-US"/>
              </w:rPr>
              <w:t>3</w:t>
            </w:r>
            <w:r w:rsidRPr="00884895">
              <w:rPr>
                <w:sz w:val="20"/>
                <w:szCs w:val="20"/>
                <w:lang w:eastAsia="en-US"/>
              </w:rPr>
              <w:t>)</w:t>
            </w:r>
            <w:r>
              <w:rPr>
                <w:sz w:val="20"/>
                <w:szCs w:val="20"/>
                <w:lang w:eastAsia="en-US"/>
              </w:rPr>
              <w:t>:</w:t>
            </w:r>
          </w:p>
          <w:p w14:paraId="4B3AE83E" w14:textId="3C083021" w:rsidR="008C5719" w:rsidRPr="00884895" w:rsidRDefault="008C5719" w:rsidP="008C5719">
            <w:pPr>
              <w:spacing w:after="120" w:line="240" w:lineRule="auto"/>
              <w:rPr>
                <w:sz w:val="20"/>
                <w:szCs w:val="20"/>
                <w:lang w:eastAsia="en-US"/>
              </w:rPr>
            </w:pPr>
            <w:r>
              <w:rPr>
                <w:sz w:val="20"/>
                <w:szCs w:val="20"/>
                <w:lang w:eastAsia="en-US"/>
              </w:rPr>
              <w:t>Begutachtung d</w:t>
            </w:r>
            <w:r w:rsidRPr="00884895">
              <w:rPr>
                <w:sz w:val="20"/>
                <w:szCs w:val="20"/>
                <w:lang w:eastAsia="en-US"/>
              </w:rPr>
              <w:t>urch Agentur</w:t>
            </w:r>
            <w:r>
              <w:rPr>
                <w:sz w:val="20"/>
                <w:szCs w:val="20"/>
                <w:lang w:eastAsia="en-US"/>
              </w:rPr>
              <w:t>:</w:t>
            </w:r>
          </w:p>
        </w:tc>
        <w:tc>
          <w:tcPr>
            <w:tcW w:w="4387" w:type="dxa"/>
          </w:tcPr>
          <w:p w14:paraId="3E3D0F24" w14:textId="6B4BC1B0" w:rsidR="008C5719" w:rsidRDefault="00055CFD" w:rsidP="000E504B">
            <w:pPr>
              <w:spacing w:after="120" w:line="240" w:lineRule="auto"/>
              <w:rPr>
                <w:sz w:val="20"/>
                <w:szCs w:val="20"/>
                <w:lang w:eastAsia="en-US"/>
              </w:rPr>
            </w:pPr>
            <w:r w:rsidRPr="00055CFD">
              <w:rPr>
                <w:sz w:val="20"/>
                <w:szCs w:val="20"/>
                <w:highlight w:val="yellow"/>
                <w:lang w:eastAsia="en-US"/>
              </w:rPr>
              <w:t>xx.xx.xxxx</w:t>
            </w:r>
          </w:p>
          <w:p w14:paraId="2DEC7475" w14:textId="23769636" w:rsidR="00275CB6" w:rsidRPr="00164CDF" w:rsidRDefault="00275CB6" w:rsidP="000E504B">
            <w:pPr>
              <w:spacing w:after="120" w:line="240" w:lineRule="auto"/>
              <w:rPr>
                <w:sz w:val="20"/>
                <w:szCs w:val="20"/>
                <w:lang w:eastAsia="en-US"/>
              </w:rPr>
            </w:pPr>
            <w:r>
              <w:rPr>
                <w:sz w:val="20"/>
                <w:szCs w:val="20"/>
                <w:lang w:eastAsia="en-US"/>
              </w:rPr>
              <w:t>AHPGS</w:t>
            </w:r>
          </w:p>
        </w:tc>
      </w:tr>
      <w:tr w:rsidR="002F5F87" w:rsidRPr="00884895" w14:paraId="55D68C68" w14:textId="77777777" w:rsidTr="002F5F87">
        <w:tc>
          <w:tcPr>
            <w:tcW w:w="4673" w:type="dxa"/>
            <w:tcBorders>
              <w:top w:val="single" w:sz="4" w:space="0" w:color="auto"/>
              <w:left w:val="single" w:sz="4" w:space="0" w:color="auto"/>
              <w:bottom w:val="single" w:sz="4" w:space="0" w:color="auto"/>
              <w:right w:val="single" w:sz="4" w:space="0" w:color="auto"/>
            </w:tcBorders>
          </w:tcPr>
          <w:p w14:paraId="318B1600" w14:textId="77777777" w:rsidR="002F5F87" w:rsidRPr="00884895" w:rsidRDefault="002F5F87" w:rsidP="000E504B">
            <w:pPr>
              <w:spacing w:after="120" w:line="240" w:lineRule="auto"/>
              <w:rPr>
                <w:sz w:val="20"/>
                <w:szCs w:val="20"/>
                <w:lang w:eastAsia="en-US"/>
              </w:rPr>
            </w:pPr>
            <w:r w:rsidRPr="007E4604">
              <w:rPr>
                <w:sz w:val="20"/>
                <w:szCs w:val="20"/>
                <w:lang w:eastAsia="en-US"/>
              </w:rPr>
              <w:t>Personengruppen, mit denen Gespräche geführt worden sind:</w:t>
            </w:r>
          </w:p>
        </w:tc>
        <w:tc>
          <w:tcPr>
            <w:tcW w:w="4387" w:type="dxa"/>
            <w:tcBorders>
              <w:top w:val="single" w:sz="4" w:space="0" w:color="auto"/>
              <w:left w:val="single" w:sz="4" w:space="0" w:color="auto"/>
              <w:bottom w:val="single" w:sz="4" w:space="0" w:color="auto"/>
              <w:right w:val="single" w:sz="4" w:space="0" w:color="auto"/>
            </w:tcBorders>
          </w:tcPr>
          <w:p w14:paraId="3FD7D36B" w14:textId="23EBA9C4" w:rsidR="002F5F87" w:rsidRPr="00884895" w:rsidRDefault="008C5719" w:rsidP="000E504B">
            <w:pPr>
              <w:spacing w:after="120" w:line="240" w:lineRule="auto"/>
              <w:rPr>
                <w:sz w:val="20"/>
                <w:szCs w:val="20"/>
                <w:lang w:eastAsia="en-US"/>
              </w:rPr>
            </w:pPr>
            <w:r>
              <w:rPr>
                <w:sz w:val="20"/>
                <w:szCs w:val="20"/>
                <w:lang w:eastAsia="en-US"/>
              </w:rPr>
              <w:t xml:space="preserve">Hochschulleitung, Programmverantwortliche, Lehrende, Studierende </w:t>
            </w:r>
          </w:p>
        </w:tc>
      </w:tr>
      <w:tr w:rsidR="002F5F87" w:rsidRPr="00884895" w14:paraId="1EB16375" w14:textId="77777777" w:rsidTr="002F5F87">
        <w:tc>
          <w:tcPr>
            <w:tcW w:w="4673" w:type="dxa"/>
            <w:tcBorders>
              <w:top w:val="single" w:sz="4" w:space="0" w:color="auto"/>
              <w:left w:val="single" w:sz="4" w:space="0" w:color="auto"/>
              <w:bottom w:val="single" w:sz="4" w:space="0" w:color="auto"/>
              <w:right w:val="single" w:sz="4" w:space="0" w:color="auto"/>
            </w:tcBorders>
          </w:tcPr>
          <w:p w14:paraId="22D55823" w14:textId="77777777" w:rsidR="002F5F87" w:rsidRPr="00884895" w:rsidRDefault="002F5F87" w:rsidP="000E504B">
            <w:pPr>
              <w:spacing w:after="120" w:line="240" w:lineRule="auto"/>
              <w:rPr>
                <w:sz w:val="20"/>
                <w:szCs w:val="20"/>
                <w:lang w:eastAsia="en-US"/>
              </w:rPr>
            </w:pPr>
            <w:r w:rsidRPr="007E4604">
              <w:rPr>
                <w:sz w:val="20"/>
                <w:szCs w:val="20"/>
                <w:lang w:eastAsia="en-US"/>
              </w:rPr>
              <w:t>An räumlicher und sächlicher Ausstattung wurde besichtigt (optional, sofern fachlich angezeigt):</w:t>
            </w:r>
          </w:p>
        </w:tc>
        <w:tc>
          <w:tcPr>
            <w:tcW w:w="4387" w:type="dxa"/>
            <w:tcBorders>
              <w:top w:val="single" w:sz="4" w:space="0" w:color="auto"/>
              <w:left w:val="single" w:sz="4" w:space="0" w:color="auto"/>
              <w:bottom w:val="single" w:sz="4" w:space="0" w:color="auto"/>
              <w:right w:val="single" w:sz="4" w:space="0" w:color="auto"/>
            </w:tcBorders>
          </w:tcPr>
          <w:p w14:paraId="6DA2EED5" w14:textId="30E5AC0B" w:rsidR="002F5F87" w:rsidRPr="00884895" w:rsidRDefault="008C5719" w:rsidP="000E504B">
            <w:pPr>
              <w:spacing w:after="120" w:line="240" w:lineRule="auto"/>
              <w:rPr>
                <w:sz w:val="20"/>
                <w:szCs w:val="20"/>
                <w:lang w:eastAsia="en-US"/>
              </w:rPr>
            </w:pPr>
            <w:r>
              <w:rPr>
                <w:sz w:val="20"/>
                <w:szCs w:val="20"/>
                <w:lang w:eastAsia="en-US"/>
              </w:rPr>
              <w:t>Aufenthaltsräume, Besprechungsräume</w:t>
            </w:r>
          </w:p>
        </w:tc>
      </w:tr>
    </w:tbl>
    <w:p w14:paraId="4295503D" w14:textId="39F7D07A" w:rsidR="001848CC" w:rsidRDefault="001848CC" w:rsidP="000E504B">
      <w:pPr>
        <w:spacing w:before="0" w:after="120" w:line="240" w:lineRule="auto"/>
        <w:rPr>
          <w:lang w:eastAsia="en-US"/>
        </w:rPr>
      </w:pPr>
    </w:p>
    <w:p w14:paraId="73059B61" w14:textId="09E7EE18" w:rsidR="001848CC" w:rsidRDefault="001848CC" w:rsidP="000E504B">
      <w:pPr>
        <w:spacing w:before="0" w:line="240" w:lineRule="auto"/>
        <w:jc w:val="left"/>
        <w:rPr>
          <w:lang w:eastAsia="en-US"/>
        </w:rPr>
      </w:pPr>
    </w:p>
    <w:sectPr w:rsidR="001848CC" w:rsidSect="001675A5">
      <w:headerReference w:type="default" r:id="rId12"/>
      <w:pgSz w:w="11906" w:h="16838" w:code="9"/>
      <w:pgMar w:top="1701"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A1BB2" w14:textId="77777777" w:rsidR="0035776B" w:rsidRDefault="0035776B" w:rsidP="00520910">
      <w:pPr>
        <w:spacing w:before="0" w:line="240" w:lineRule="auto"/>
      </w:pPr>
      <w:r>
        <w:separator/>
      </w:r>
    </w:p>
  </w:endnote>
  <w:endnote w:type="continuationSeparator" w:id="0">
    <w:p w14:paraId="7ED87DB4" w14:textId="77777777" w:rsidR="0035776B" w:rsidRDefault="0035776B" w:rsidP="0052091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Univers">
    <w:altName w:val="Calibri"/>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A1CB3" w14:textId="77777777" w:rsidR="0035776B" w:rsidRDefault="0035776B" w:rsidP="00520910">
      <w:pPr>
        <w:spacing w:before="0" w:line="240" w:lineRule="auto"/>
      </w:pPr>
      <w:r>
        <w:separator/>
      </w:r>
    </w:p>
  </w:footnote>
  <w:footnote w:type="continuationSeparator" w:id="0">
    <w:p w14:paraId="3CE2BEF3" w14:textId="77777777" w:rsidR="0035776B" w:rsidRDefault="0035776B" w:rsidP="0052091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F9899" w14:textId="2CAB8E85" w:rsidR="00135427" w:rsidRPr="008E3246" w:rsidRDefault="00135427" w:rsidP="00000640">
    <w:pPr>
      <w:pStyle w:val="Kopfzeile"/>
      <w:pBdr>
        <w:bottom w:val="single" w:sz="4" w:space="9" w:color="auto"/>
      </w:pBdr>
      <w:jc w:val="right"/>
      <w:rPr>
        <w:sz w:val="18"/>
        <w:szCs w:val="18"/>
      </w:rPr>
    </w:pPr>
    <w:r w:rsidRPr="00000640">
      <w:rPr>
        <w:sz w:val="18"/>
        <w:szCs w:val="18"/>
      </w:rPr>
      <w:t>„Psychologie mit Schwerpunkt Klinische Psychologie und Psychotherapie”</w:t>
    </w:r>
    <w:r>
      <w:rPr>
        <w:sz w:val="18"/>
        <w:szCs w:val="18"/>
      </w:rPr>
      <w:t>, M.Sc.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8B7"/>
    <w:multiLevelType w:val="hybridMultilevel"/>
    <w:tmpl w:val="70F49B1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4BC5498"/>
    <w:multiLevelType w:val="hybridMultilevel"/>
    <w:tmpl w:val="35E4F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2989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754C5A"/>
    <w:multiLevelType w:val="multilevel"/>
    <w:tmpl w:val="B164D8D6"/>
    <w:lvl w:ilvl="0">
      <w:start w:val="1"/>
      <w:numFmt w:val="upperRoman"/>
      <w:lvlText w:val="%1."/>
      <w:lvlJc w:val="left"/>
      <w:rPr>
        <w:rFonts w:cs="Times New Roman" w:hint="default"/>
      </w:rPr>
    </w:lvl>
    <w:lvl w:ilvl="1">
      <w:start w:val="1"/>
      <w:numFmt w:val="decimal"/>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ordinal"/>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4" w15:restartNumberingAfterBreak="0">
    <w:nsid w:val="0C5247FD"/>
    <w:multiLevelType w:val="hybridMultilevel"/>
    <w:tmpl w:val="EAAC5D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CF83B88"/>
    <w:multiLevelType w:val="hybridMultilevel"/>
    <w:tmpl w:val="598A908E"/>
    <w:lvl w:ilvl="0" w:tplc="04070001">
      <w:start w:val="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F00BBE"/>
    <w:multiLevelType w:val="hybridMultilevel"/>
    <w:tmpl w:val="98F43A60"/>
    <w:lvl w:ilvl="0" w:tplc="522494BC">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8F17868"/>
    <w:multiLevelType w:val="hybridMultilevel"/>
    <w:tmpl w:val="6B40D4AE"/>
    <w:lvl w:ilvl="0" w:tplc="81F64A8C">
      <w:start w:val="1"/>
      <w:numFmt w:val="upperRoman"/>
      <w:lvlText w:val="%1."/>
      <w:lvlJc w:val="left"/>
      <w:pPr>
        <w:ind w:left="1080" w:hanging="72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1F3F5DED"/>
    <w:multiLevelType w:val="hybridMultilevel"/>
    <w:tmpl w:val="2F9A92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0D10BA"/>
    <w:multiLevelType w:val="hybridMultilevel"/>
    <w:tmpl w:val="D32862A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22C943AB"/>
    <w:multiLevelType w:val="hybridMultilevel"/>
    <w:tmpl w:val="04743C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9C3F84"/>
    <w:multiLevelType w:val="hybridMultilevel"/>
    <w:tmpl w:val="B8E6C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5A1C62"/>
    <w:multiLevelType w:val="multilevel"/>
    <w:tmpl w:val="0407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3" w15:restartNumberingAfterBreak="0">
    <w:nsid w:val="29A309E6"/>
    <w:multiLevelType w:val="hybridMultilevel"/>
    <w:tmpl w:val="D79278AE"/>
    <w:lvl w:ilvl="0" w:tplc="02887ED8">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2A1944FD"/>
    <w:multiLevelType w:val="hybridMultilevel"/>
    <w:tmpl w:val="BF8A984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3AA63133"/>
    <w:multiLevelType w:val="hybridMultilevel"/>
    <w:tmpl w:val="6C4889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AC25553"/>
    <w:multiLevelType w:val="hybridMultilevel"/>
    <w:tmpl w:val="CC2076E0"/>
    <w:lvl w:ilvl="0" w:tplc="05249C60">
      <w:start w:val="1"/>
      <w:numFmt w:val="bullet"/>
      <w:lvlText w:val="-"/>
      <w:lvlJc w:val="left"/>
      <w:pPr>
        <w:ind w:left="720" w:hanging="360"/>
      </w:pPr>
      <w:rPr>
        <w:rFonts w:ascii="Constantia" w:hAnsi="Constanti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970505"/>
    <w:multiLevelType w:val="multilevel"/>
    <w:tmpl w:val="053AD9BC"/>
    <w:lvl w:ilvl="0">
      <w:start w:val="1"/>
      <w:numFmt w:val="upperRoman"/>
      <w:lvlText w:val="%1."/>
      <w:lvlJc w:val="left"/>
      <w:rPr>
        <w:rFonts w:cs="Times New Roman" w:hint="default"/>
      </w:rPr>
    </w:lvl>
    <w:lvl w:ilvl="1">
      <w:start w:val="1"/>
      <w:numFmt w:val="decimal"/>
      <w:lvlText w:val="%1%2."/>
      <w:lvlJc w:val="left"/>
      <w:pPr>
        <w:ind w:left="720"/>
      </w:pPr>
      <w:rPr>
        <w:rFonts w:cs="Times New Roman" w:hint="default"/>
      </w:rPr>
    </w:lvl>
    <w:lvl w:ilvl="2">
      <w:start w:val="1"/>
      <w:numFmt w:val="decimal"/>
      <w:lvlRestart w:val="0"/>
      <w:lvlText w:val="%1%2%3."/>
      <w:lvlJc w:val="left"/>
      <w:pPr>
        <w:ind w:left="1440"/>
      </w:pPr>
      <w:rPr>
        <w:rFonts w:cs="Times New Roman" w:hint="default"/>
      </w:rPr>
    </w:lvl>
    <w:lvl w:ilvl="3">
      <w:start w:val="1"/>
      <w:numFmt w:val="ordinal"/>
      <w:lvlRestart w:val="0"/>
      <w:lvlText w:val="%1%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8" w15:restartNumberingAfterBreak="0">
    <w:nsid w:val="3DCC0D15"/>
    <w:multiLevelType w:val="multilevel"/>
    <w:tmpl w:val="06763E3C"/>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853843"/>
    <w:multiLevelType w:val="hybridMultilevel"/>
    <w:tmpl w:val="3984C6B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0" w15:restartNumberingAfterBreak="0">
    <w:nsid w:val="43AD09AD"/>
    <w:multiLevelType w:val="multilevel"/>
    <w:tmpl w:val="2C681F8A"/>
    <w:lvl w:ilvl="0">
      <w:start w:val="1"/>
      <w:numFmt w:val="bullet"/>
      <w:lvlText w:val="-"/>
      <w:lvlJc w:val="left"/>
      <w:pPr>
        <w:ind w:left="720" w:hanging="360"/>
      </w:pPr>
      <w:rPr>
        <w:rFonts w:ascii="Arial" w:hAnsi="Arial" w:hint="default"/>
      </w:rPr>
    </w:lvl>
    <w:lvl w:ilvl="1">
      <w:start w:val="1"/>
      <w:numFmt w:val="bullet"/>
      <w:pStyle w:val="Listenabsatz"/>
      <w:lvlText w:val="-"/>
      <w:lvlJc w:val="left"/>
      <w:pPr>
        <w:ind w:left="1134" w:hanging="397"/>
      </w:pPr>
      <w:rPr>
        <w:rFonts w:ascii="Arial" w:hAnsi="Arial" w:hint="default"/>
        <w:b w:val="0"/>
        <w:i w:val="0"/>
        <w:sz w:val="22"/>
      </w:rPr>
    </w:lvl>
    <w:lvl w:ilvl="2">
      <w:start w:val="1"/>
      <w:numFmt w:val="bullet"/>
      <w:lvlText w:val="-"/>
      <w:lvlJc w:val="left"/>
      <w:pPr>
        <w:ind w:left="1644" w:hanging="397"/>
      </w:pPr>
      <w:rPr>
        <w:rFonts w:ascii="Arial" w:hAnsi="Arial" w:hint="default"/>
      </w:rPr>
    </w:lvl>
    <w:lvl w:ilvl="3">
      <w:start w:val="1"/>
      <w:numFmt w:val="bullet"/>
      <w:lvlText w:val="-"/>
      <w:lvlJc w:val="left"/>
      <w:pPr>
        <w:ind w:left="2155" w:hanging="397"/>
      </w:pPr>
      <w:rPr>
        <w:rFonts w:ascii="Arial" w:hAnsi="Aria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98426C"/>
    <w:multiLevelType w:val="hybridMultilevel"/>
    <w:tmpl w:val="BBECB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8DE2D24"/>
    <w:multiLevelType w:val="hybridMultilevel"/>
    <w:tmpl w:val="D2208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026AF7"/>
    <w:multiLevelType w:val="hybridMultilevel"/>
    <w:tmpl w:val="3126EAEA"/>
    <w:lvl w:ilvl="0" w:tplc="2DF0C47E">
      <w:start w:val="1"/>
      <w:numFmt w:val="bullet"/>
      <w:lvlText w:val="̵"/>
      <w:lvlJc w:val="left"/>
      <w:pPr>
        <w:ind w:left="1440" w:hanging="360"/>
      </w:pPr>
      <w:rPr>
        <w:rFonts w:ascii="Arial" w:hAnsi="Aria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4CF10E18"/>
    <w:multiLevelType w:val="hybridMultilevel"/>
    <w:tmpl w:val="AEE64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01C75C3"/>
    <w:multiLevelType w:val="hybridMultilevel"/>
    <w:tmpl w:val="0AB62642"/>
    <w:lvl w:ilvl="0" w:tplc="AB405F84">
      <w:numFmt w:val="bullet"/>
      <w:pStyle w:val="AufzhlungAuflagen"/>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A309FE"/>
    <w:multiLevelType w:val="hybridMultilevel"/>
    <w:tmpl w:val="029A3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7FA50D3"/>
    <w:multiLevelType w:val="multilevel"/>
    <w:tmpl w:val="0407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28" w15:restartNumberingAfterBreak="0">
    <w:nsid w:val="5A855810"/>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6001426C"/>
    <w:multiLevelType w:val="hybridMultilevel"/>
    <w:tmpl w:val="DFEA9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56B7CDA"/>
    <w:multiLevelType w:val="hybridMultilevel"/>
    <w:tmpl w:val="31E69BD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1" w15:restartNumberingAfterBreak="0">
    <w:nsid w:val="65A40D48"/>
    <w:multiLevelType w:val="multilevel"/>
    <w:tmpl w:val="940C18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5CE6DDE"/>
    <w:multiLevelType w:val="hybridMultilevel"/>
    <w:tmpl w:val="66124ED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5F109D9"/>
    <w:multiLevelType w:val="hybridMultilevel"/>
    <w:tmpl w:val="81F05090"/>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4" w15:restartNumberingAfterBreak="0">
    <w:nsid w:val="6A65627B"/>
    <w:multiLevelType w:val="hybridMultilevel"/>
    <w:tmpl w:val="52EEEBEE"/>
    <w:lvl w:ilvl="0" w:tplc="AA0E8680">
      <w:numFmt w:val="bullet"/>
      <w:pStyle w:val="11Aufzhlung"/>
      <w:lvlText w:val="-"/>
      <w:lvlJc w:val="left"/>
      <w:pPr>
        <w:ind w:left="720" w:hanging="360"/>
      </w:pPr>
      <w:rPr>
        <w:rFonts w:ascii="Univers" w:eastAsia="Times New Roman" w:hAnsi="Univer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B932294"/>
    <w:multiLevelType w:val="hybridMultilevel"/>
    <w:tmpl w:val="9D4AB21C"/>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6" w15:restartNumberingAfterBreak="0">
    <w:nsid w:val="6CF07765"/>
    <w:multiLevelType w:val="hybridMultilevel"/>
    <w:tmpl w:val="52EED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5526B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6294E45"/>
    <w:multiLevelType w:val="multilevel"/>
    <w:tmpl w:val="C0C861B0"/>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2422" w:hanging="720"/>
      </w:pPr>
      <w:rPr>
        <w:rFonts w:cs="Times New Roman"/>
      </w:rPr>
    </w:lvl>
    <w:lvl w:ilvl="3">
      <w:start w:val="1"/>
      <w:numFmt w:val="decimal"/>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39" w15:restartNumberingAfterBreak="0">
    <w:nsid w:val="786094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C452AC7"/>
    <w:multiLevelType w:val="hybridMultilevel"/>
    <w:tmpl w:val="7D6057C4"/>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1" w15:restartNumberingAfterBreak="0">
    <w:nsid w:val="7E9A2F2C"/>
    <w:multiLevelType w:val="hybridMultilevel"/>
    <w:tmpl w:val="F27AE9CA"/>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42" w15:restartNumberingAfterBreak="0">
    <w:nsid w:val="7F6223C5"/>
    <w:multiLevelType w:val="hybridMultilevel"/>
    <w:tmpl w:val="D586107C"/>
    <w:lvl w:ilvl="0" w:tplc="0407000F">
      <w:start w:val="1"/>
      <w:numFmt w:val="decimal"/>
      <w:lvlText w:val="%1."/>
      <w:lvlJc w:val="left"/>
      <w:pPr>
        <w:ind w:left="776" w:hanging="360"/>
      </w:pPr>
      <w:rPr>
        <w:rFonts w:cs="Times New Roman"/>
      </w:rPr>
    </w:lvl>
    <w:lvl w:ilvl="1" w:tplc="04070019" w:tentative="1">
      <w:start w:val="1"/>
      <w:numFmt w:val="lowerLetter"/>
      <w:lvlText w:val="%2."/>
      <w:lvlJc w:val="left"/>
      <w:pPr>
        <w:ind w:left="1496" w:hanging="360"/>
      </w:pPr>
      <w:rPr>
        <w:rFonts w:cs="Times New Roman"/>
      </w:rPr>
    </w:lvl>
    <w:lvl w:ilvl="2" w:tplc="0407001B" w:tentative="1">
      <w:start w:val="1"/>
      <w:numFmt w:val="lowerRoman"/>
      <w:lvlText w:val="%3."/>
      <w:lvlJc w:val="right"/>
      <w:pPr>
        <w:ind w:left="2216" w:hanging="180"/>
      </w:pPr>
      <w:rPr>
        <w:rFonts w:cs="Times New Roman"/>
      </w:rPr>
    </w:lvl>
    <w:lvl w:ilvl="3" w:tplc="0407000F" w:tentative="1">
      <w:start w:val="1"/>
      <w:numFmt w:val="decimal"/>
      <w:lvlText w:val="%4."/>
      <w:lvlJc w:val="left"/>
      <w:pPr>
        <w:ind w:left="2936" w:hanging="360"/>
      </w:pPr>
      <w:rPr>
        <w:rFonts w:cs="Times New Roman"/>
      </w:rPr>
    </w:lvl>
    <w:lvl w:ilvl="4" w:tplc="04070019" w:tentative="1">
      <w:start w:val="1"/>
      <w:numFmt w:val="lowerLetter"/>
      <w:lvlText w:val="%5."/>
      <w:lvlJc w:val="left"/>
      <w:pPr>
        <w:ind w:left="3656" w:hanging="360"/>
      </w:pPr>
      <w:rPr>
        <w:rFonts w:cs="Times New Roman"/>
      </w:rPr>
    </w:lvl>
    <w:lvl w:ilvl="5" w:tplc="0407001B" w:tentative="1">
      <w:start w:val="1"/>
      <w:numFmt w:val="lowerRoman"/>
      <w:lvlText w:val="%6."/>
      <w:lvlJc w:val="right"/>
      <w:pPr>
        <w:ind w:left="4376" w:hanging="180"/>
      </w:pPr>
      <w:rPr>
        <w:rFonts w:cs="Times New Roman"/>
      </w:rPr>
    </w:lvl>
    <w:lvl w:ilvl="6" w:tplc="0407000F" w:tentative="1">
      <w:start w:val="1"/>
      <w:numFmt w:val="decimal"/>
      <w:lvlText w:val="%7."/>
      <w:lvlJc w:val="left"/>
      <w:pPr>
        <w:ind w:left="5096" w:hanging="360"/>
      </w:pPr>
      <w:rPr>
        <w:rFonts w:cs="Times New Roman"/>
      </w:rPr>
    </w:lvl>
    <w:lvl w:ilvl="7" w:tplc="04070019" w:tentative="1">
      <w:start w:val="1"/>
      <w:numFmt w:val="lowerLetter"/>
      <w:lvlText w:val="%8."/>
      <w:lvlJc w:val="left"/>
      <w:pPr>
        <w:ind w:left="5816" w:hanging="360"/>
      </w:pPr>
      <w:rPr>
        <w:rFonts w:cs="Times New Roman"/>
      </w:rPr>
    </w:lvl>
    <w:lvl w:ilvl="8" w:tplc="0407001B" w:tentative="1">
      <w:start w:val="1"/>
      <w:numFmt w:val="lowerRoman"/>
      <w:lvlText w:val="%9."/>
      <w:lvlJc w:val="right"/>
      <w:pPr>
        <w:ind w:left="6536" w:hanging="180"/>
      </w:pPr>
      <w:rPr>
        <w:rFonts w:cs="Times New Roman"/>
      </w:rPr>
    </w:lvl>
  </w:abstractNum>
  <w:abstractNum w:abstractNumId="43" w15:restartNumberingAfterBreak="0">
    <w:nsid w:val="7FF93FE4"/>
    <w:multiLevelType w:val="hybridMultilevel"/>
    <w:tmpl w:val="9BA80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6290986">
    <w:abstractNumId w:val="38"/>
  </w:num>
  <w:num w:numId="2" w16cid:durableId="995693524">
    <w:abstractNumId w:val="21"/>
  </w:num>
  <w:num w:numId="3" w16cid:durableId="137262826">
    <w:abstractNumId w:val="23"/>
  </w:num>
  <w:num w:numId="4" w16cid:durableId="273247343">
    <w:abstractNumId w:val="20"/>
  </w:num>
  <w:num w:numId="5" w16cid:durableId="17499625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11064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2410125">
    <w:abstractNumId w:val="28"/>
  </w:num>
  <w:num w:numId="8" w16cid:durableId="108011317">
    <w:abstractNumId w:val="15"/>
  </w:num>
  <w:num w:numId="9" w16cid:durableId="2101829439">
    <w:abstractNumId w:val="24"/>
  </w:num>
  <w:num w:numId="10" w16cid:durableId="662785001">
    <w:abstractNumId w:val="9"/>
  </w:num>
  <w:num w:numId="11" w16cid:durableId="1469085030">
    <w:abstractNumId w:val="3"/>
  </w:num>
  <w:num w:numId="12" w16cid:durableId="113182459">
    <w:abstractNumId w:val="7"/>
  </w:num>
  <w:num w:numId="13" w16cid:durableId="48919182">
    <w:abstractNumId w:val="27"/>
  </w:num>
  <w:num w:numId="14" w16cid:durableId="1140221187">
    <w:abstractNumId w:val="29"/>
  </w:num>
  <w:num w:numId="15" w16cid:durableId="1942715657">
    <w:abstractNumId w:val="22"/>
  </w:num>
  <w:num w:numId="16" w16cid:durableId="1568565771">
    <w:abstractNumId w:val="42"/>
  </w:num>
  <w:num w:numId="17" w16cid:durableId="937062485">
    <w:abstractNumId w:val="14"/>
  </w:num>
  <w:num w:numId="18" w16cid:durableId="390815055">
    <w:abstractNumId w:val="17"/>
  </w:num>
  <w:num w:numId="19" w16cid:durableId="822770672">
    <w:abstractNumId w:val="12"/>
  </w:num>
  <w:num w:numId="20" w16cid:durableId="90206411">
    <w:abstractNumId w:val="40"/>
  </w:num>
  <w:num w:numId="21" w16cid:durableId="1090392594">
    <w:abstractNumId w:val="1"/>
  </w:num>
  <w:num w:numId="22" w16cid:durableId="163477219">
    <w:abstractNumId w:val="36"/>
  </w:num>
  <w:num w:numId="23" w16cid:durableId="685714940">
    <w:abstractNumId w:val="19"/>
  </w:num>
  <w:num w:numId="24" w16cid:durableId="1459453077">
    <w:abstractNumId w:val="0"/>
  </w:num>
  <w:num w:numId="25" w16cid:durableId="868761415">
    <w:abstractNumId w:val="10"/>
  </w:num>
  <w:num w:numId="26" w16cid:durableId="913052560">
    <w:abstractNumId w:val="33"/>
  </w:num>
  <w:num w:numId="27" w16cid:durableId="549341441">
    <w:abstractNumId w:val="5"/>
  </w:num>
  <w:num w:numId="28" w16cid:durableId="136534434">
    <w:abstractNumId w:val="30"/>
  </w:num>
  <w:num w:numId="29" w16cid:durableId="1698627798">
    <w:abstractNumId w:val="43"/>
  </w:num>
  <w:num w:numId="30" w16cid:durableId="573782228">
    <w:abstractNumId w:val="4"/>
  </w:num>
  <w:num w:numId="31" w16cid:durableId="40598453">
    <w:abstractNumId w:val="31"/>
  </w:num>
  <w:num w:numId="32" w16cid:durableId="556665637">
    <w:abstractNumId w:val="41"/>
  </w:num>
  <w:num w:numId="33" w16cid:durableId="515778492">
    <w:abstractNumId w:val="8"/>
  </w:num>
  <w:num w:numId="34" w16cid:durableId="263078853">
    <w:abstractNumId w:val="32"/>
  </w:num>
  <w:num w:numId="35" w16cid:durableId="615136964">
    <w:abstractNumId w:val="11"/>
  </w:num>
  <w:num w:numId="36" w16cid:durableId="1996376039">
    <w:abstractNumId w:val="26"/>
  </w:num>
  <w:num w:numId="37" w16cid:durableId="294792854">
    <w:abstractNumId w:val="35"/>
  </w:num>
  <w:num w:numId="38" w16cid:durableId="370349334">
    <w:abstractNumId w:val="18"/>
  </w:num>
  <w:num w:numId="39" w16cid:durableId="120346631">
    <w:abstractNumId w:val="20"/>
  </w:num>
  <w:num w:numId="40" w16cid:durableId="1519350050">
    <w:abstractNumId w:val="6"/>
  </w:num>
  <w:num w:numId="41" w16cid:durableId="1195921950">
    <w:abstractNumId w:val="13"/>
  </w:num>
  <w:num w:numId="42" w16cid:durableId="203254018">
    <w:abstractNumId w:val="2"/>
  </w:num>
  <w:num w:numId="43" w16cid:durableId="1883905272">
    <w:abstractNumId w:val="37"/>
  </w:num>
  <w:num w:numId="44" w16cid:durableId="616763795">
    <w:abstractNumId w:val="39"/>
  </w:num>
  <w:num w:numId="45" w16cid:durableId="104152640">
    <w:abstractNumId w:val="34"/>
  </w:num>
  <w:num w:numId="46" w16cid:durableId="2099934609">
    <w:abstractNumId w:val="20"/>
  </w:num>
  <w:num w:numId="47" w16cid:durableId="196937217">
    <w:abstractNumId w:val="20"/>
  </w:num>
  <w:num w:numId="48" w16cid:durableId="1398893018">
    <w:abstractNumId w:val="20"/>
  </w:num>
  <w:num w:numId="49" w16cid:durableId="1025789843">
    <w:abstractNumId w:val="25"/>
  </w:num>
  <w:num w:numId="50" w16cid:durableId="13135630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4C2"/>
    <w:rsid w:val="00000565"/>
    <w:rsid w:val="00000640"/>
    <w:rsid w:val="00000DA8"/>
    <w:rsid w:val="00001DC1"/>
    <w:rsid w:val="000024BF"/>
    <w:rsid w:val="00002B62"/>
    <w:rsid w:val="00002E1F"/>
    <w:rsid w:val="000030FB"/>
    <w:rsid w:val="00003D2E"/>
    <w:rsid w:val="000045BD"/>
    <w:rsid w:val="000053A7"/>
    <w:rsid w:val="0000787D"/>
    <w:rsid w:val="00012783"/>
    <w:rsid w:val="0001374B"/>
    <w:rsid w:val="000145BC"/>
    <w:rsid w:val="00014B2F"/>
    <w:rsid w:val="00015012"/>
    <w:rsid w:val="00016557"/>
    <w:rsid w:val="00020BD0"/>
    <w:rsid w:val="00021295"/>
    <w:rsid w:val="00022570"/>
    <w:rsid w:val="000233B1"/>
    <w:rsid w:val="000321AC"/>
    <w:rsid w:val="00033D56"/>
    <w:rsid w:val="00036767"/>
    <w:rsid w:val="00040C6F"/>
    <w:rsid w:val="0004130E"/>
    <w:rsid w:val="000419D9"/>
    <w:rsid w:val="00042797"/>
    <w:rsid w:val="00047BA3"/>
    <w:rsid w:val="00047E37"/>
    <w:rsid w:val="000508D1"/>
    <w:rsid w:val="00052B71"/>
    <w:rsid w:val="00052C1A"/>
    <w:rsid w:val="00055CFD"/>
    <w:rsid w:val="00056754"/>
    <w:rsid w:val="00056886"/>
    <w:rsid w:val="00056ECF"/>
    <w:rsid w:val="00060A51"/>
    <w:rsid w:val="0006137B"/>
    <w:rsid w:val="000614D3"/>
    <w:rsid w:val="00063F4F"/>
    <w:rsid w:val="00064ADF"/>
    <w:rsid w:val="00065133"/>
    <w:rsid w:val="00067D30"/>
    <w:rsid w:val="0007218B"/>
    <w:rsid w:val="000726E0"/>
    <w:rsid w:val="00072B29"/>
    <w:rsid w:val="00073147"/>
    <w:rsid w:val="000762E2"/>
    <w:rsid w:val="00076745"/>
    <w:rsid w:val="0007712E"/>
    <w:rsid w:val="0007797D"/>
    <w:rsid w:val="00080BB7"/>
    <w:rsid w:val="000812A4"/>
    <w:rsid w:val="00081FC8"/>
    <w:rsid w:val="000821A0"/>
    <w:rsid w:val="000840BD"/>
    <w:rsid w:val="00085C12"/>
    <w:rsid w:val="00085E4B"/>
    <w:rsid w:val="00087486"/>
    <w:rsid w:val="00087A4A"/>
    <w:rsid w:val="00091E5E"/>
    <w:rsid w:val="000930D3"/>
    <w:rsid w:val="00094403"/>
    <w:rsid w:val="00097B85"/>
    <w:rsid w:val="000A0240"/>
    <w:rsid w:val="000A0E7B"/>
    <w:rsid w:val="000A257F"/>
    <w:rsid w:val="000A2F9F"/>
    <w:rsid w:val="000A4F5B"/>
    <w:rsid w:val="000A5914"/>
    <w:rsid w:val="000A6C6B"/>
    <w:rsid w:val="000A7449"/>
    <w:rsid w:val="000B126A"/>
    <w:rsid w:val="000B1B32"/>
    <w:rsid w:val="000B2D36"/>
    <w:rsid w:val="000B2D6F"/>
    <w:rsid w:val="000B4724"/>
    <w:rsid w:val="000B4E30"/>
    <w:rsid w:val="000B6BCA"/>
    <w:rsid w:val="000B7B17"/>
    <w:rsid w:val="000C125E"/>
    <w:rsid w:val="000C2A74"/>
    <w:rsid w:val="000C45E2"/>
    <w:rsid w:val="000C6383"/>
    <w:rsid w:val="000C6632"/>
    <w:rsid w:val="000D143A"/>
    <w:rsid w:val="000D1DCB"/>
    <w:rsid w:val="000D31D4"/>
    <w:rsid w:val="000D3F65"/>
    <w:rsid w:val="000D5AB9"/>
    <w:rsid w:val="000E0715"/>
    <w:rsid w:val="000E0C15"/>
    <w:rsid w:val="000E2809"/>
    <w:rsid w:val="000E2963"/>
    <w:rsid w:val="000E31E2"/>
    <w:rsid w:val="000E504B"/>
    <w:rsid w:val="000E541C"/>
    <w:rsid w:val="000E5CCC"/>
    <w:rsid w:val="000E67CA"/>
    <w:rsid w:val="000E6869"/>
    <w:rsid w:val="000E6A4D"/>
    <w:rsid w:val="000E786C"/>
    <w:rsid w:val="000F1142"/>
    <w:rsid w:val="000F4EF8"/>
    <w:rsid w:val="000F574D"/>
    <w:rsid w:val="000F6806"/>
    <w:rsid w:val="000F742B"/>
    <w:rsid w:val="000F7DAB"/>
    <w:rsid w:val="00104D0E"/>
    <w:rsid w:val="001060A1"/>
    <w:rsid w:val="00106E57"/>
    <w:rsid w:val="00110080"/>
    <w:rsid w:val="0011057E"/>
    <w:rsid w:val="00110BC1"/>
    <w:rsid w:val="00113A26"/>
    <w:rsid w:val="0011708F"/>
    <w:rsid w:val="00123534"/>
    <w:rsid w:val="00123C31"/>
    <w:rsid w:val="0012411A"/>
    <w:rsid w:val="00125CDE"/>
    <w:rsid w:val="00126353"/>
    <w:rsid w:val="00126412"/>
    <w:rsid w:val="001269FF"/>
    <w:rsid w:val="001300E0"/>
    <w:rsid w:val="001309C6"/>
    <w:rsid w:val="0013194E"/>
    <w:rsid w:val="00133B0D"/>
    <w:rsid w:val="00133F8D"/>
    <w:rsid w:val="00135427"/>
    <w:rsid w:val="001370A9"/>
    <w:rsid w:val="00140944"/>
    <w:rsid w:val="00142116"/>
    <w:rsid w:val="0014489D"/>
    <w:rsid w:val="00144C21"/>
    <w:rsid w:val="00145B57"/>
    <w:rsid w:val="001474BD"/>
    <w:rsid w:val="00150340"/>
    <w:rsid w:val="00151400"/>
    <w:rsid w:val="00152EC0"/>
    <w:rsid w:val="00153B96"/>
    <w:rsid w:val="00154809"/>
    <w:rsid w:val="00161AA0"/>
    <w:rsid w:val="001634F3"/>
    <w:rsid w:val="001642FF"/>
    <w:rsid w:val="001647CA"/>
    <w:rsid w:val="00164CDF"/>
    <w:rsid w:val="00164E2E"/>
    <w:rsid w:val="00165B5F"/>
    <w:rsid w:val="001675A5"/>
    <w:rsid w:val="00167E15"/>
    <w:rsid w:val="00170B6A"/>
    <w:rsid w:val="001737CA"/>
    <w:rsid w:val="00175A2E"/>
    <w:rsid w:val="00175D3D"/>
    <w:rsid w:val="00176C52"/>
    <w:rsid w:val="001823B1"/>
    <w:rsid w:val="00182929"/>
    <w:rsid w:val="00182C92"/>
    <w:rsid w:val="00182D68"/>
    <w:rsid w:val="001848CC"/>
    <w:rsid w:val="0018628B"/>
    <w:rsid w:val="00193475"/>
    <w:rsid w:val="001935E8"/>
    <w:rsid w:val="00193A26"/>
    <w:rsid w:val="00194E35"/>
    <w:rsid w:val="00195076"/>
    <w:rsid w:val="00196C90"/>
    <w:rsid w:val="00196E9C"/>
    <w:rsid w:val="001A2998"/>
    <w:rsid w:val="001A5C00"/>
    <w:rsid w:val="001B0A82"/>
    <w:rsid w:val="001B1F1D"/>
    <w:rsid w:val="001B44C2"/>
    <w:rsid w:val="001B5A15"/>
    <w:rsid w:val="001B6906"/>
    <w:rsid w:val="001C0973"/>
    <w:rsid w:val="001C132A"/>
    <w:rsid w:val="001C31ED"/>
    <w:rsid w:val="001C3555"/>
    <w:rsid w:val="001C3580"/>
    <w:rsid w:val="001C59D3"/>
    <w:rsid w:val="001C5B84"/>
    <w:rsid w:val="001C5CCD"/>
    <w:rsid w:val="001C67A5"/>
    <w:rsid w:val="001D0009"/>
    <w:rsid w:val="001D0E4B"/>
    <w:rsid w:val="001D0E57"/>
    <w:rsid w:val="001D3216"/>
    <w:rsid w:val="001D5B24"/>
    <w:rsid w:val="001E34A4"/>
    <w:rsid w:val="001E3A1B"/>
    <w:rsid w:val="001E3E4C"/>
    <w:rsid w:val="001E443A"/>
    <w:rsid w:val="001E7C62"/>
    <w:rsid w:val="001F0A63"/>
    <w:rsid w:val="001F32EF"/>
    <w:rsid w:val="001F47A0"/>
    <w:rsid w:val="001F606B"/>
    <w:rsid w:val="001F78EA"/>
    <w:rsid w:val="0020042E"/>
    <w:rsid w:val="00200FD4"/>
    <w:rsid w:val="00201D70"/>
    <w:rsid w:val="00202B2D"/>
    <w:rsid w:val="0020319C"/>
    <w:rsid w:val="00204E34"/>
    <w:rsid w:val="00206A34"/>
    <w:rsid w:val="00207289"/>
    <w:rsid w:val="002114C6"/>
    <w:rsid w:val="00212285"/>
    <w:rsid w:val="00212834"/>
    <w:rsid w:val="00217F13"/>
    <w:rsid w:val="0022024C"/>
    <w:rsid w:val="00220514"/>
    <w:rsid w:val="00225715"/>
    <w:rsid w:val="00225F95"/>
    <w:rsid w:val="00231002"/>
    <w:rsid w:val="002311CF"/>
    <w:rsid w:val="002320C8"/>
    <w:rsid w:val="0023403B"/>
    <w:rsid w:val="00237AD2"/>
    <w:rsid w:val="00240BC5"/>
    <w:rsid w:val="002418A2"/>
    <w:rsid w:val="00241BD8"/>
    <w:rsid w:val="00241F30"/>
    <w:rsid w:val="00243BB2"/>
    <w:rsid w:val="00243E2D"/>
    <w:rsid w:val="00245F65"/>
    <w:rsid w:val="00245FC3"/>
    <w:rsid w:val="002505E6"/>
    <w:rsid w:val="00251493"/>
    <w:rsid w:val="00252C7E"/>
    <w:rsid w:val="002530C2"/>
    <w:rsid w:val="002534F3"/>
    <w:rsid w:val="002557C6"/>
    <w:rsid w:val="00256504"/>
    <w:rsid w:val="00256D6F"/>
    <w:rsid w:val="002576F0"/>
    <w:rsid w:val="00257832"/>
    <w:rsid w:val="0026224F"/>
    <w:rsid w:val="00262D11"/>
    <w:rsid w:val="00264A18"/>
    <w:rsid w:val="00267434"/>
    <w:rsid w:val="00273A9D"/>
    <w:rsid w:val="00274D59"/>
    <w:rsid w:val="00275528"/>
    <w:rsid w:val="00275CB6"/>
    <w:rsid w:val="00275E8A"/>
    <w:rsid w:val="00277C34"/>
    <w:rsid w:val="00282EA7"/>
    <w:rsid w:val="002835B3"/>
    <w:rsid w:val="00284E8F"/>
    <w:rsid w:val="0028595A"/>
    <w:rsid w:val="0028616B"/>
    <w:rsid w:val="002866A6"/>
    <w:rsid w:val="0029044C"/>
    <w:rsid w:val="00290C75"/>
    <w:rsid w:val="00290DA5"/>
    <w:rsid w:val="0029103B"/>
    <w:rsid w:val="0029171E"/>
    <w:rsid w:val="00294195"/>
    <w:rsid w:val="0029491B"/>
    <w:rsid w:val="00294E3C"/>
    <w:rsid w:val="00295058"/>
    <w:rsid w:val="0029594C"/>
    <w:rsid w:val="00296597"/>
    <w:rsid w:val="002971B2"/>
    <w:rsid w:val="00297EBF"/>
    <w:rsid w:val="002A488A"/>
    <w:rsid w:val="002A4CDF"/>
    <w:rsid w:val="002A6D2B"/>
    <w:rsid w:val="002A6D83"/>
    <w:rsid w:val="002A7AE6"/>
    <w:rsid w:val="002A7C07"/>
    <w:rsid w:val="002B0083"/>
    <w:rsid w:val="002B09D0"/>
    <w:rsid w:val="002B2BFA"/>
    <w:rsid w:val="002B3B53"/>
    <w:rsid w:val="002B4025"/>
    <w:rsid w:val="002B4978"/>
    <w:rsid w:val="002B4E50"/>
    <w:rsid w:val="002B4EE4"/>
    <w:rsid w:val="002B5403"/>
    <w:rsid w:val="002B64C9"/>
    <w:rsid w:val="002B74BB"/>
    <w:rsid w:val="002B77EE"/>
    <w:rsid w:val="002B7B7D"/>
    <w:rsid w:val="002C00AB"/>
    <w:rsid w:val="002C19C9"/>
    <w:rsid w:val="002C25CB"/>
    <w:rsid w:val="002C3DD2"/>
    <w:rsid w:val="002C429E"/>
    <w:rsid w:val="002C773C"/>
    <w:rsid w:val="002D0B0E"/>
    <w:rsid w:val="002D492D"/>
    <w:rsid w:val="002D5C8B"/>
    <w:rsid w:val="002D62A4"/>
    <w:rsid w:val="002D6C48"/>
    <w:rsid w:val="002D6FBE"/>
    <w:rsid w:val="002E14A1"/>
    <w:rsid w:val="002E1611"/>
    <w:rsid w:val="002E1C41"/>
    <w:rsid w:val="002E1F07"/>
    <w:rsid w:val="002E2F2B"/>
    <w:rsid w:val="002E31E6"/>
    <w:rsid w:val="002E551F"/>
    <w:rsid w:val="002F1394"/>
    <w:rsid w:val="002F15B6"/>
    <w:rsid w:val="002F478F"/>
    <w:rsid w:val="002F5B49"/>
    <w:rsid w:val="002F5F87"/>
    <w:rsid w:val="002F661F"/>
    <w:rsid w:val="002F7B85"/>
    <w:rsid w:val="00300757"/>
    <w:rsid w:val="003027C3"/>
    <w:rsid w:val="003066D6"/>
    <w:rsid w:val="003107F1"/>
    <w:rsid w:val="00312E9C"/>
    <w:rsid w:val="0031661F"/>
    <w:rsid w:val="00317B79"/>
    <w:rsid w:val="003201D9"/>
    <w:rsid w:val="0032158E"/>
    <w:rsid w:val="00322A20"/>
    <w:rsid w:val="00326510"/>
    <w:rsid w:val="0033330C"/>
    <w:rsid w:val="003336AB"/>
    <w:rsid w:val="0033370A"/>
    <w:rsid w:val="0033435A"/>
    <w:rsid w:val="003356BD"/>
    <w:rsid w:val="0034053F"/>
    <w:rsid w:val="00341B93"/>
    <w:rsid w:val="00342089"/>
    <w:rsid w:val="00344277"/>
    <w:rsid w:val="003501A1"/>
    <w:rsid w:val="00350F68"/>
    <w:rsid w:val="00351A25"/>
    <w:rsid w:val="00351C3A"/>
    <w:rsid w:val="00353ED3"/>
    <w:rsid w:val="00354D9F"/>
    <w:rsid w:val="00355DFC"/>
    <w:rsid w:val="0035776B"/>
    <w:rsid w:val="003578DB"/>
    <w:rsid w:val="00362B44"/>
    <w:rsid w:val="003646EA"/>
    <w:rsid w:val="00367B70"/>
    <w:rsid w:val="00370150"/>
    <w:rsid w:val="00370A2A"/>
    <w:rsid w:val="00371883"/>
    <w:rsid w:val="00371BC8"/>
    <w:rsid w:val="003726A3"/>
    <w:rsid w:val="00372EB6"/>
    <w:rsid w:val="0037374E"/>
    <w:rsid w:val="00375250"/>
    <w:rsid w:val="00376A2C"/>
    <w:rsid w:val="0038210C"/>
    <w:rsid w:val="0038307C"/>
    <w:rsid w:val="003842A6"/>
    <w:rsid w:val="0038477A"/>
    <w:rsid w:val="00384F9D"/>
    <w:rsid w:val="00385989"/>
    <w:rsid w:val="00385FC8"/>
    <w:rsid w:val="00387816"/>
    <w:rsid w:val="00391342"/>
    <w:rsid w:val="003916CD"/>
    <w:rsid w:val="00392FA9"/>
    <w:rsid w:val="00394243"/>
    <w:rsid w:val="00394AC7"/>
    <w:rsid w:val="00394BE8"/>
    <w:rsid w:val="00396F66"/>
    <w:rsid w:val="003977D6"/>
    <w:rsid w:val="003A016D"/>
    <w:rsid w:val="003A2E26"/>
    <w:rsid w:val="003A4357"/>
    <w:rsid w:val="003A45F9"/>
    <w:rsid w:val="003A4F48"/>
    <w:rsid w:val="003A5229"/>
    <w:rsid w:val="003A5F4E"/>
    <w:rsid w:val="003A6D8A"/>
    <w:rsid w:val="003A7FAA"/>
    <w:rsid w:val="003B04E2"/>
    <w:rsid w:val="003B40E2"/>
    <w:rsid w:val="003B51AD"/>
    <w:rsid w:val="003B71DE"/>
    <w:rsid w:val="003C0053"/>
    <w:rsid w:val="003C1115"/>
    <w:rsid w:val="003C1347"/>
    <w:rsid w:val="003C1D6D"/>
    <w:rsid w:val="003C2979"/>
    <w:rsid w:val="003C4EFB"/>
    <w:rsid w:val="003C6149"/>
    <w:rsid w:val="003D0A1D"/>
    <w:rsid w:val="003D0CEE"/>
    <w:rsid w:val="003D101D"/>
    <w:rsid w:val="003D3B11"/>
    <w:rsid w:val="003E1209"/>
    <w:rsid w:val="003E1917"/>
    <w:rsid w:val="003E3C12"/>
    <w:rsid w:val="003E3F08"/>
    <w:rsid w:val="003E6506"/>
    <w:rsid w:val="003F13E7"/>
    <w:rsid w:val="003F265D"/>
    <w:rsid w:val="003F4506"/>
    <w:rsid w:val="003F65E8"/>
    <w:rsid w:val="004013CD"/>
    <w:rsid w:val="00401BF4"/>
    <w:rsid w:val="00404DCD"/>
    <w:rsid w:val="00405576"/>
    <w:rsid w:val="00406244"/>
    <w:rsid w:val="0040645F"/>
    <w:rsid w:val="004070DB"/>
    <w:rsid w:val="00412767"/>
    <w:rsid w:val="00413B05"/>
    <w:rsid w:val="004165E8"/>
    <w:rsid w:val="004234E2"/>
    <w:rsid w:val="004237AF"/>
    <w:rsid w:val="00423D27"/>
    <w:rsid w:val="004253AC"/>
    <w:rsid w:val="004257C2"/>
    <w:rsid w:val="00427D6B"/>
    <w:rsid w:val="0043038C"/>
    <w:rsid w:val="00430522"/>
    <w:rsid w:val="00433814"/>
    <w:rsid w:val="00435158"/>
    <w:rsid w:val="004356C8"/>
    <w:rsid w:val="00436692"/>
    <w:rsid w:val="0044012B"/>
    <w:rsid w:val="00441628"/>
    <w:rsid w:val="004423DB"/>
    <w:rsid w:val="004432B2"/>
    <w:rsid w:val="0044491E"/>
    <w:rsid w:val="00444BF4"/>
    <w:rsid w:val="00447FB8"/>
    <w:rsid w:val="004507AC"/>
    <w:rsid w:val="004507B1"/>
    <w:rsid w:val="004551F5"/>
    <w:rsid w:val="00456831"/>
    <w:rsid w:val="00457100"/>
    <w:rsid w:val="004576A4"/>
    <w:rsid w:val="00457C49"/>
    <w:rsid w:val="00460851"/>
    <w:rsid w:val="00460B33"/>
    <w:rsid w:val="00460C05"/>
    <w:rsid w:val="00462498"/>
    <w:rsid w:val="0046448F"/>
    <w:rsid w:val="00465173"/>
    <w:rsid w:val="00466065"/>
    <w:rsid w:val="00466760"/>
    <w:rsid w:val="00470262"/>
    <w:rsid w:val="00470B78"/>
    <w:rsid w:val="004714E9"/>
    <w:rsid w:val="004725DC"/>
    <w:rsid w:val="00472E20"/>
    <w:rsid w:val="00473479"/>
    <w:rsid w:val="00474BF7"/>
    <w:rsid w:val="00474E60"/>
    <w:rsid w:val="004761C4"/>
    <w:rsid w:val="00484697"/>
    <w:rsid w:val="00486F96"/>
    <w:rsid w:val="004875D1"/>
    <w:rsid w:val="004902FB"/>
    <w:rsid w:val="00491AE9"/>
    <w:rsid w:val="00493849"/>
    <w:rsid w:val="004949CB"/>
    <w:rsid w:val="00495161"/>
    <w:rsid w:val="00495235"/>
    <w:rsid w:val="004A12CD"/>
    <w:rsid w:val="004A2AB8"/>
    <w:rsid w:val="004A2D19"/>
    <w:rsid w:val="004A32EF"/>
    <w:rsid w:val="004A5209"/>
    <w:rsid w:val="004A673F"/>
    <w:rsid w:val="004B0B0A"/>
    <w:rsid w:val="004B1DEC"/>
    <w:rsid w:val="004B276E"/>
    <w:rsid w:val="004B4E27"/>
    <w:rsid w:val="004B598D"/>
    <w:rsid w:val="004B5FD9"/>
    <w:rsid w:val="004B73BB"/>
    <w:rsid w:val="004B7546"/>
    <w:rsid w:val="004C0184"/>
    <w:rsid w:val="004C106D"/>
    <w:rsid w:val="004C17A0"/>
    <w:rsid w:val="004C41FE"/>
    <w:rsid w:val="004D1BB2"/>
    <w:rsid w:val="004D1C9D"/>
    <w:rsid w:val="004D4BFF"/>
    <w:rsid w:val="004D4CF8"/>
    <w:rsid w:val="004D5E56"/>
    <w:rsid w:val="004D6661"/>
    <w:rsid w:val="004E18CB"/>
    <w:rsid w:val="004E1B65"/>
    <w:rsid w:val="004E2630"/>
    <w:rsid w:val="004E3BC6"/>
    <w:rsid w:val="004E5A56"/>
    <w:rsid w:val="004E69CD"/>
    <w:rsid w:val="004F2938"/>
    <w:rsid w:val="004F3EBA"/>
    <w:rsid w:val="004F6656"/>
    <w:rsid w:val="004F6D28"/>
    <w:rsid w:val="005000C4"/>
    <w:rsid w:val="0050186B"/>
    <w:rsid w:val="005027C5"/>
    <w:rsid w:val="00502AAE"/>
    <w:rsid w:val="005044AB"/>
    <w:rsid w:val="00505953"/>
    <w:rsid w:val="00505E96"/>
    <w:rsid w:val="00506EEE"/>
    <w:rsid w:val="00510C14"/>
    <w:rsid w:val="005117BE"/>
    <w:rsid w:val="00513CD3"/>
    <w:rsid w:val="005141C5"/>
    <w:rsid w:val="00515591"/>
    <w:rsid w:val="0051613C"/>
    <w:rsid w:val="00516397"/>
    <w:rsid w:val="00520772"/>
    <w:rsid w:val="00520910"/>
    <w:rsid w:val="00522FB3"/>
    <w:rsid w:val="0052310F"/>
    <w:rsid w:val="005251A7"/>
    <w:rsid w:val="005254F2"/>
    <w:rsid w:val="00525E86"/>
    <w:rsid w:val="005269A0"/>
    <w:rsid w:val="00533382"/>
    <w:rsid w:val="00533B60"/>
    <w:rsid w:val="00534371"/>
    <w:rsid w:val="00535A83"/>
    <w:rsid w:val="005365C5"/>
    <w:rsid w:val="00541B4B"/>
    <w:rsid w:val="005529B4"/>
    <w:rsid w:val="00552B33"/>
    <w:rsid w:val="00557028"/>
    <w:rsid w:val="005615A0"/>
    <w:rsid w:val="0056192A"/>
    <w:rsid w:val="00562A2A"/>
    <w:rsid w:val="00564321"/>
    <w:rsid w:val="00564596"/>
    <w:rsid w:val="0056459E"/>
    <w:rsid w:val="00566500"/>
    <w:rsid w:val="005667B7"/>
    <w:rsid w:val="005678D9"/>
    <w:rsid w:val="00567B28"/>
    <w:rsid w:val="00574FF3"/>
    <w:rsid w:val="00576EAB"/>
    <w:rsid w:val="00577883"/>
    <w:rsid w:val="00581E6B"/>
    <w:rsid w:val="0058237E"/>
    <w:rsid w:val="00582459"/>
    <w:rsid w:val="00582830"/>
    <w:rsid w:val="00583199"/>
    <w:rsid w:val="005849E7"/>
    <w:rsid w:val="00585DD0"/>
    <w:rsid w:val="005868BA"/>
    <w:rsid w:val="005874C5"/>
    <w:rsid w:val="00587BF1"/>
    <w:rsid w:val="0059169C"/>
    <w:rsid w:val="005933D5"/>
    <w:rsid w:val="0059579D"/>
    <w:rsid w:val="00595A05"/>
    <w:rsid w:val="00597132"/>
    <w:rsid w:val="005A0306"/>
    <w:rsid w:val="005A11ED"/>
    <w:rsid w:val="005A19DC"/>
    <w:rsid w:val="005A57FD"/>
    <w:rsid w:val="005A78B8"/>
    <w:rsid w:val="005B0084"/>
    <w:rsid w:val="005B0C0D"/>
    <w:rsid w:val="005B0CCF"/>
    <w:rsid w:val="005B2218"/>
    <w:rsid w:val="005B40F7"/>
    <w:rsid w:val="005B52CD"/>
    <w:rsid w:val="005B5E0D"/>
    <w:rsid w:val="005B6F21"/>
    <w:rsid w:val="005B778B"/>
    <w:rsid w:val="005B780D"/>
    <w:rsid w:val="005B7F79"/>
    <w:rsid w:val="005C1A44"/>
    <w:rsid w:val="005C233F"/>
    <w:rsid w:val="005C29F2"/>
    <w:rsid w:val="005C3087"/>
    <w:rsid w:val="005C403D"/>
    <w:rsid w:val="005C473E"/>
    <w:rsid w:val="005C67C5"/>
    <w:rsid w:val="005C704C"/>
    <w:rsid w:val="005C7DBB"/>
    <w:rsid w:val="005D0998"/>
    <w:rsid w:val="005D50BB"/>
    <w:rsid w:val="005D7853"/>
    <w:rsid w:val="005D7C5E"/>
    <w:rsid w:val="005D7E80"/>
    <w:rsid w:val="005E027A"/>
    <w:rsid w:val="005E0644"/>
    <w:rsid w:val="005E1915"/>
    <w:rsid w:val="005E2769"/>
    <w:rsid w:val="005E495C"/>
    <w:rsid w:val="005E4C8E"/>
    <w:rsid w:val="005E53C9"/>
    <w:rsid w:val="005E5C1C"/>
    <w:rsid w:val="005E603D"/>
    <w:rsid w:val="005E64D4"/>
    <w:rsid w:val="005F14BC"/>
    <w:rsid w:val="005F1D59"/>
    <w:rsid w:val="005F2B06"/>
    <w:rsid w:val="005F75AC"/>
    <w:rsid w:val="00602F7E"/>
    <w:rsid w:val="00603A3F"/>
    <w:rsid w:val="00610B58"/>
    <w:rsid w:val="00610FDB"/>
    <w:rsid w:val="00612D01"/>
    <w:rsid w:val="00616657"/>
    <w:rsid w:val="00616B50"/>
    <w:rsid w:val="00620071"/>
    <w:rsid w:val="006216B9"/>
    <w:rsid w:val="00622049"/>
    <w:rsid w:val="0062229A"/>
    <w:rsid w:val="00622A69"/>
    <w:rsid w:val="00624DDF"/>
    <w:rsid w:val="00626C49"/>
    <w:rsid w:val="0063097C"/>
    <w:rsid w:val="00632DD2"/>
    <w:rsid w:val="00633C99"/>
    <w:rsid w:val="00634D4E"/>
    <w:rsid w:val="00637E04"/>
    <w:rsid w:val="00641599"/>
    <w:rsid w:val="006427FD"/>
    <w:rsid w:val="0064296B"/>
    <w:rsid w:val="00642F7C"/>
    <w:rsid w:val="00643176"/>
    <w:rsid w:val="0064322C"/>
    <w:rsid w:val="00643357"/>
    <w:rsid w:val="00643528"/>
    <w:rsid w:val="00643BE0"/>
    <w:rsid w:val="00645905"/>
    <w:rsid w:val="00645D2C"/>
    <w:rsid w:val="00647D7F"/>
    <w:rsid w:val="00650C36"/>
    <w:rsid w:val="00654395"/>
    <w:rsid w:val="00657122"/>
    <w:rsid w:val="00660682"/>
    <w:rsid w:val="00661399"/>
    <w:rsid w:val="006629B1"/>
    <w:rsid w:val="00663705"/>
    <w:rsid w:val="00663C63"/>
    <w:rsid w:val="00663F93"/>
    <w:rsid w:val="00664DC7"/>
    <w:rsid w:val="00666D80"/>
    <w:rsid w:val="006672A2"/>
    <w:rsid w:val="00670EBA"/>
    <w:rsid w:val="00671597"/>
    <w:rsid w:val="00671734"/>
    <w:rsid w:val="00672BC9"/>
    <w:rsid w:val="00680720"/>
    <w:rsid w:val="00680ACB"/>
    <w:rsid w:val="00680DD8"/>
    <w:rsid w:val="0068252C"/>
    <w:rsid w:val="006834D2"/>
    <w:rsid w:val="006835C1"/>
    <w:rsid w:val="006849DE"/>
    <w:rsid w:val="00686117"/>
    <w:rsid w:val="0068625C"/>
    <w:rsid w:val="006865C7"/>
    <w:rsid w:val="00687460"/>
    <w:rsid w:val="00687D5F"/>
    <w:rsid w:val="00690010"/>
    <w:rsid w:val="006908EF"/>
    <w:rsid w:val="006910AB"/>
    <w:rsid w:val="00693194"/>
    <w:rsid w:val="006952E4"/>
    <w:rsid w:val="006A18E3"/>
    <w:rsid w:val="006A2766"/>
    <w:rsid w:val="006A28A5"/>
    <w:rsid w:val="006A3065"/>
    <w:rsid w:val="006A45D0"/>
    <w:rsid w:val="006B2358"/>
    <w:rsid w:val="006B37F6"/>
    <w:rsid w:val="006B5B2D"/>
    <w:rsid w:val="006B6971"/>
    <w:rsid w:val="006B70C1"/>
    <w:rsid w:val="006C6601"/>
    <w:rsid w:val="006D4256"/>
    <w:rsid w:val="006D4EFB"/>
    <w:rsid w:val="006D5B8B"/>
    <w:rsid w:val="006E2DE7"/>
    <w:rsid w:val="006E51D6"/>
    <w:rsid w:val="006E589E"/>
    <w:rsid w:val="006E5F14"/>
    <w:rsid w:val="006E7118"/>
    <w:rsid w:val="006F07D3"/>
    <w:rsid w:val="006F465D"/>
    <w:rsid w:val="006F4919"/>
    <w:rsid w:val="006F53DE"/>
    <w:rsid w:val="006F5D8B"/>
    <w:rsid w:val="006F5F9A"/>
    <w:rsid w:val="00703087"/>
    <w:rsid w:val="007034D2"/>
    <w:rsid w:val="007101F7"/>
    <w:rsid w:val="007135F9"/>
    <w:rsid w:val="0071670A"/>
    <w:rsid w:val="0072024C"/>
    <w:rsid w:val="007216A9"/>
    <w:rsid w:val="00723996"/>
    <w:rsid w:val="00723DED"/>
    <w:rsid w:val="00724264"/>
    <w:rsid w:val="007244DF"/>
    <w:rsid w:val="00731A8F"/>
    <w:rsid w:val="00733775"/>
    <w:rsid w:val="00735292"/>
    <w:rsid w:val="00736BCB"/>
    <w:rsid w:val="00741A34"/>
    <w:rsid w:val="0074244C"/>
    <w:rsid w:val="00744B21"/>
    <w:rsid w:val="00745CCA"/>
    <w:rsid w:val="0075132F"/>
    <w:rsid w:val="007519F1"/>
    <w:rsid w:val="00752244"/>
    <w:rsid w:val="00752772"/>
    <w:rsid w:val="0075390E"/>
    <w:rsid w:val="00755B97"/>
    <w:rsid w:val="00757192"/>
    <w:rsid w:val="0076291D"/>
    <w:rsid w:val="00765C08"/>
    <w:rsid w:val="007667BF"/>
    <w:rsid w:val="007729AE"/>
    <w:rsid w:val="00776FC7"/>
    <w:rsid w:val="00780E73"/>
    <w:rsid w:val="00781002"/>
    <w:rsid w:val="007811AD"/>
    <w:rsid w:val="00782F90"/>
    <w:rsid w:val="0078338E"/>
    <w:rsid w:val="0078521B"/>
    <w:rsid w:val="00785B07"/>
    <w:rsid w:val="00785E22"/>
    <w:rsid w:val="00785FF1"/>
    <w:rsid w:val="00791391"/>
    <w:rsid w:val="00792010"/>
    <w:rsid w:val="007936D5"/>
    <w:rsid w:val="007972B5"/>
    <w:rsid w:val="007A03F3"/>
    <w:rsid w:val="007A294D"/>
    <w:rsid w:val="007A3AC8"/>
    <w:rsid w:val="007A3E2F"/>
    <w:rsid w:val="007A5117"/>
    <w:rsid w:val="007A7046"/>
    <w:rsid w:val="007A74B3"/>
    <w:rsid w:val="007A7DD0"/>
    <w:rsid w:val="007B2E46"/>
    <w:rsid w:val="007B4756"/>
    <w:rsid w:val="007B5092"/>
    <w:rsid w:val="007B51AF"/>
    <w:rsid w:val="007B7F9E"/>
    <w:rsid w:val="007C1F09"/>
    <w:rsid w:val="007C21D8"/>
    <w:rsid w:val="007C3172"/>
    <w:rsid w:val="007C5F04"/>
    <w:rsid w:val="007C6256"/>
    <w:rsid w:val="007C7598"/>
    <w:rsid w:val="007D1203"/>
    <w:rsid w:val="007D1382"/>
    <w:rsid w:val="007D16E5"/>
    <w:rsid w:val="007D233B"/>
    <w:rsid w:val="007D2D3C"/>
    <w:rsid w:val="007D39EE"/>
    <w:rsid w:val="007D7BDC"/>
    <w:rsid w:val="007E3DDD"/>
    <w:rsid w:val="007E4604"/>
    <w:rsid w:val="007E5BAB"/>
    <w:rsid w:val="007E5E55"/>
    <w:rsid w:val="007F04F1"/>
    <w:rsid w:val="007F06EC"/>
    <w:rsid w:val="007F4513"/>
    <w:rsid w:val="00800D0A"/>
    <w:rsid w:val="00801207"/>
    <w:rsid w:val="00802BA5"/>
    <w:rsid w:val="008074B1"/>
    <w:rsid w:val="0081082A"/>
    <w:rsid w:val="00813D2E"/>
    <w:rsid w:val="00814094"/>
    <w:rsid w:val="00820DED"/>
    <w:rsid w:val="008245CB"/>
    <w:rsid w:val="00825943"/>
    <w:rsid w:val="008269AB"/>
    <w:rsid w:val="00826C6E"/>
    <w:rsid w:val="008270BF"/>
    <w:rsid w:val="00831CDD"/>
    <w:rsid w:val="008326F3"/>
    <w:rsid w:val="00834252"/>
    <w:rsid w:val="00834461"/>
    <w:rsid w:val="00835B04"/>
    <w:rsid w:val="0084059E"/>
    <w:rsid w:val="008405B4"/>
    <w:rsid w:val="00842A1E"/>
    <w:rsid w:val="00842BB1"/>
    <w:rsid w:val="00850D2A"/>
    <w:rsid w:val="008531B0"/>
    <w:rsid w:val="0085459A"/>
    <w:rsid w:val="00855546"/>
    <w:rsid w:val="00855FD2"/>
    <w:rsid w:val="00856902"/>
    <w:rsid w:val="00857D31"/>
    <w:rsid w:val="00862970"/>
    <w:rsid w:val="0086394C"/>
    <w:rsid w:val="008658E1"/>
    <w:rsid w:val="00872C85"/>
    <w:rsid w:val="00873941"/>
    <w:rsid w:val="00877A39"/>
    <w:rsid w:val="00881311"/>
    <w:rsid w:val="00882040"/>
    <w:rsid w:val="008847AE"/>
    <w:rsid w:val="00884895"/>
    <w:rsid w:val="00885ADA"/>
    <w:rsid w:val="00885B86"/>
    <w:rsid w:val="00886BA4"/>
    <w:rsid w:val="00887A64"/>
    <w:rsid w:val="00887DBC"/>
    <w:rsid w:val="00891E41"/>
    <w:rsid w:val="00892250"/>
    <w:rsid w:val="008922A2"/>
    <w:rsid w:val="00892635"/>
    <w:rsid w:val="0089380C"/>
    <w:rsid w:val="00897527"/>
    <w:rsid w:val="00897C18"/>
    <w:rsid w:val="00897EF1"/>
    <w:rsid w:val="008A04D4"/>
    <w:rsid w:val="008A10B1"/>
    <w:rsid w:val="008A54A3"/>
    <w:rsid w:val="008A57F8"/>
    <w:rsid w:val="008A5C0A"/>
    <w:rsid w:val="008A5EC5"/>
    <w:rsid w:val="008A7594"/>
    <w:rsid w:val="008B0B9F"/>
    <w:rsid w:val="008B1E86"/>
    <w:rsid w:val="008B3699"/>
    <w:rsid w:val="008B3B8F"/>
    <w:rsid w:val="008B46D7"/>
    <w:rsid w:val="008B77DD"/>
    <w:rsid w:val="008C0332"/>
    <w:rsid w:val="008C1722"/>
    <w:rsid w:val="008C2336"/>
    <w:rsid w:val="008C4E43"/>
    <w:rsid w:val="008C5719"/>
    <w:rsid w:val="008C687C"/>
    <w:rsid w:val="008D0BCD"/>
    <w:rsid w:val="008D0E19"/>
    <w:rsid w:val="008D2A9D"/>
    <w:rsid w:val="008D3463"/>
    <w:rsid w:val="008D3686"/>
    <w:rsid w:val="008D3B19"/>
    <w:rsid w:val="008D3CC7"/>
    <w:rsid w:val="008D4F8B"/>
    <w:rsid w:val="008D6996"/>
    <w:rsid w:val="008D74E9"/>
    <w:rsid w:val="008D79AD"/>
    <w:rsid w:val="008D79FA"/>
    <w:rsid w:val="008E17F9"/>
    <w:rsid w:val="008E2DFA"/>
    <w:rsid w:val="008E3246"/>
    <w:rsid w:val="008E693E"/>
    <w:rsid w:val="008F084F"/>
    <w:rsid w:val="008F0992"/>
    <w:rsid w:val="008F12F2"/>
    <w:rsid w:val="008F228B"/>
    <w:rsid w:val="008F3039"/>
    <w:rsid w:val="008F3A2F"/>
    <w:rsid w:val="00903EA6"/>
    <w:rsid w:val="00904F8C"/>
    <w:rsid w:val="009056B8"/>
    <w:rsid w:val="009079A2"/>
    <w:rsid w:val="0091108A"/>
    <w:rsid w:val="009119C5"/>
    <w:rsid w:val="00913DD5"/>
    <w:rsid w:val="00917A45"/>
    <w:rsid w:val="00921E77"/>
    <w:rsid w:val="00922410"/>
    <w:rsid w:val="00923480"/>
    <w:rsid w:val="00924BAD"/>
    <w:rsid w:val="009256B2"/>
    <w:rsid w:val="00931E60"/>
    <w:rsid w:val="00932824"/>
    <w:rsid w:val="00934D6B"/>
    <w:rsid w:val="0093613C"/>
    <w:rsid w:val="009414D6"/>
    <w:rsid w:val="00941EEB"/>
    <w:rsid w:val="00943D98"/>
    <w:rsid w:val="009456EE"/>
    <w:rsid w:val="0094676F"/>
    <w:rsid w:val="009502C5"/>
    <w:rsid w:val="0095113C"/>
    <w:rsid w:val="00952350"/>
    <w:rsid w:val="00953E7E"/>
    <w:rsid w:val="00957E04"/>
    <w:rsid w:val="00961F57"/>
    <w:rsid w:val="00961FB6"/>
    <w:rsid w:val="00963FDF"/>
    <w:rsid w:val="00964B34"/>
    <w:rsid w:val="00964DC6"/>
    <w:rsid w:val="009661FE"/>
    <w:rsid w:val="00967A83"/>
    <w:rsid w:val="0097407F"/>
    <w:rsid w:val="00974B05"/>
    <w:rsid w:val="00975E99"/>
    <w:rsid w:val="0097636C"/>
    <w:rsid w:val="00977E8E"/>
    <w:rsid w:val="00977F57"/>
    <w:rsid w:val="00980547"/>
    <w:rsid w:val="00980722"/>
    <w:rsid w:val="00987D7B"/>
    <w:rsid w:val="009912E3"/>
    <w:rsid w:val="00991D93"/>
    <w:rsid w:val="00992171"/>
    <w:rsid w:val="00992218"/>
    <w:rsid w:val="00995866"/>
    <w:rsid w:val="00995AE6"/>
    <w:rsid w:val="009A0779"/>
    <w:rsid w:val="009A4DB1"/>
    <w:rsid w:val="009A54E7"/>
    <w:rsid w:val="009A6867"/>
    <w:rsid w:val="009A6C8A"/>
    <w:rsid w:val="009B0EF7"/>
    <w:rsid w:val="009B3C68"/>
    <w:rsid w:val="009B3D3C"/>
    <w:rsid w:val="009B48C0"/>
    <w:rsid w:val="009B4EF5"/>
    <w:rsid w:val="009B6180"/>
    <w:rsid w:val="009C2FD5"/>
    <w:rsid w:val="009C5C42"/>
    <w:rsid w:val="009C691A"/>
    <w:rsid w:val="009C7963"/>
    <w:rsid w:val="009C7BB9"/>
    <w:rsid w:val="009D1586"/>
    <w:rsid w:val="009D3537"/>
    <w:rsid w:val="009D358A"/>
    <w:rsid w:val="009D43B6"/>
    <w:rsid w:val="009D43E9"/>
    <w:rsid w:val="009D4A2F"/>
    <w:rsid w:val="009D6751"/>
    <w:rsid w:val="009D6FED"/>
    <w:rsid w:val="009E0652"/>
    <w:rsid w:val="009E3260"/>
    <w:rsid w:val="009E360E"/>
    <w:rsid w:val="009E70B8"/>
    <w:rsid w:val="009E70E2"/>
    <w:rsid w:val="009F1E48"/>
    <w:rsid w:val="009F4901"/>
    <w:rsid w:val="009F7F20"/>
    <w:rsid w:val="00A02A2C"/>
    <w:rsid w:val="00A07F35"/>
    <w:rsid w:val="00A102CC"/>
    <w:rsid w:val="00A1374E"/>
    <w:rsid w:val="00A1572E"/>
    <w:rsid w:val="00A159B2"/>
    <w:rsid w:val="00A16660"/>
    <w:rsid w:val="00A17186"/>
    <w:rsid w:val="00A210F1"/>
    <w:rsid w:val="00A21AEB"/>
    <w:rsid w:val="00A22F78"/>
    <w:rsid w:val="00A24D82"/>
    <w:rsid w:val="00A257AB"/>
    <w:rsid w:val="00A26058"/>
    <w:rsid w:val="00A26A5E"/>
    <w:rsid w:val="00A26A8D"/>
    <w:rsid w:val="00A273DF"/>
    <w:rsid w:val="00A2772F"/>
    <w:rsid w:val="00A3772C"/>
    <w:rsid w:val="00A43780"/>
    <w:rsid w:val="00A44350"/>
    <w:rsid w:val="00A455B9"/>
    <w:rsid w:val="00A45794"/>
    <w:rsid w:val="00A460B9"/>
    <w:rsid w:val="00A476FC"/>
    <w:rsid w:val="00A51083"/>
    <w:rsid w:val="00A52514"/>
    <w:rsid w:val="00A52FD9"/>
    <w:rsid w:val="00A5352B"/>
    <w:rsid w:val="00A5674E"/>
    <w:rsid w:val="00A573AF"/>
    <w:rsid w:val="00A60E27"/>
    <w:rsid w:val="00A61D91"/>
    <w:rsid w:val="00A64AB0"/>
    <w:rsid w:val="00A67083"/>
    <w:rsid w:val="00A671E9"/>
    <w:rsid w:val="00A67535"/>
    <w:rsid w:val="00A67ABF"/>
    <w:rsid w:val="00A67B62"/>
    <w:rsid w:val="00A7278C"/>
    <w:rsid w:val="00A77631"/>
    <w:rsid w:val="00A8150B"/>
    <w:rsid w:val="00A823D5"/>
    <w:rsid w:val="00A853FD"/>
    <w:rsid w:val="00A86124"/>
    <w:rsid w:val="00A86CC9"/>
    <w:rsid w:val="00A87D9C"/>
    <w:rsid w:val="00A902A6"/>
    <w:rsid w:val="00A9066A"/>
    <w:rsid w:val="00A911A3"/>
    <w:rsid w:val="00A93229"/>
    <w:rsid w:val="00A93DAA"/>
    <w:rsid w:val="00A977E5"/>
    <w:rsid w:val="00A97873"/>
    <w:rsid w:val="00A97FB7"/>
    <w:rsid w:val="00AA268C"/>
    <w:rsid w:val="00AA3BAE"/>
    <w:rsid w:val="00AA5F00"/>
    <w:rsid w:val="00AA7172"/>
    <w:rsid w:val="00AA75D9"/>
    <w:rsid w:val="00AA7C48"/>
    <w:rsid w:val="00AB5C97"/>
    <w:rsid w:val="00AB6DD0"/>
    <w:rsid w:val="00AB79A7"/>
    <w:rsid w:val="00AB7A4E"/>
    <w:rsid w:val="00AC65D5"/>
    <w:rsid w:val="00AC66F9"/>
    <w:rsid w:val="00AC68B8"/>
    <w:rsid w:val="00AC7EEE"/>
    <w:rsid w:val="00AD0092"/>
    <w:rsid w:val="00AD018C"/>
    <w:rsid w:val="00AD29B8"/>
    <w:rsid w:val="00AD335B"/>
    <w:rsid w:val="00AD363F"/>
    <w:rsid w:val="00AD4C88"/>
    <w:rsid w:val="00AD6F1E"/>
    <w:rsid w:val="00AE0C1A"/>
    <w:rsid w:val="00AE137A"/>
    <w:rsid w:val="00AE4E82"/>
    <w:rsid w:val="00AE583D"/>
    <w:rsid w:val="00AE6050"/>
    <w:rsid w:val="00AF024E"/>
    <w:rsid w:val="00AF593B"/>
    <w:rsid w:val="00AF6480"/>
    <w:rsid w:val="00B01B03"/>
    <w:rsid w:val="00B02231"/>
    <w:rsid w:val="00B05C43"/>
    <w:rsid w:val="00B05DFF"/>
    <w:rsid w:val="00B1241E"/>
    <w:rsid w:val="00B13895"/>
    <w:rsid w:val="00B159BB"/>
    <w:rsid w:val="00B208FF"/>
    <w:rsid w:val="00B20CF6"/>
    <w:rsid w:val="00B2119C"/>
    <w:rsid w:val="00B211DD"/>
    <w:rsid w:val="00B2179E"/>
    <w:rsid w:val="00B2327D"/>
    <w:rsid w:val="00B256E8"/>
    <w:rsid w:val="00B30A06"/>
    <w:rsid w:val="00B315BB"/>
    <w:rsid w:val="00B341E7"/>
    <w:rsid w:val="00B34D0A"/>
    <w:rsid w:val="00B41BC8"/>
    <w:rsid w:val="00B454E0"/>
    <w:rsid w:val="00B50A1F"/>
    <w:rsid w:val="00B50AB5"/>
    <w:rsid w:val="00B53649"/>
    <w:rsid w:val="00B54286"/>
    <w:rsid w:val="00B54E8B"/>
    <w:rsid w:val="00B55644"/>
    <w:rsid w:val="00B60870"/>
    <w:rsid w:val="00B60A35"/>
    <w:rsid w:val="00B60AC0"/>
    <w:rsid w:val="00B612AD"/>
    <w:rsid w:val="00B63DF3"/>
    <w:rsid w:val="00B64727"/>
    <w:rsid w:val="00B66CF8"/>
    <w:rsid w:val="00B66F06"/>
    <w:rsid w:val="00B709EA"/>
    <w:rsid w:val="00B71770"/>
    <w:rsid w:val="00B71BDC"/>
    <w:rsid w:val="00B727CC"/>
    <w:rsid w:val="00B742F4"/>
    <w:rsid w:val="00B7569E"/>
    <w:rsid w:val="00B767A3"/>
    <w:rsid w:val="00B77B0D"/>
    <w:rsid w:val="00B801E0"/>
    <w:rsid w:val="00B814D3"/>
    <w:rsid w:val="00B823F9"/>
    <w:rsid w:val="00B8421C"/>
    <w:rsid w:val="00B85882"/>
    <w:rsid w:val="00B862DC"/>
    <w:rsid w:val="00B86E28"/>
    <w:rsid w:val="00B87F8D"/>
    <w:rsid w:val="00B903DB"/>
    <w:rsid w:val="00B90E75"/>
    <w:rsid w:val="00B941AF"/>
    <w:rsid w:val="00B95AF0"/>
    <w:rsid w:val="00B95E79"/>
    <w:rsid w:val="00B97EBB"/>
    <w:rsid w:val="00BA1804"/>
    <w:rsid w:val="00BA1B4F"/>
    <w:rsid w:val="00BA32BB"/>
    <w:rsid w:val="00BA5350"/>
    <w:rsid w:val="00BA6EC0"/>
    <w:rsid w:val="00BB1BC2"/>
    <w:rsid w:val="00BB3ED8"/>
    <w:rsid w:val="00BB469C"/>
    <w:rsid w:val="00BB6226"/>
    <w:rsid w:val="00BB7F38"/>
    <w:rsid w:val="00BC28D4"/>
    <w:rsid w:val="00BC3F4B"/>
    <w:rsid w:val="00BC4F5E"/>
    <w:rsid w:val="00BC54D6"/>
    <w:rsid w:val="00BC5D2C"/>
    <w:rsid w:val="00BC6783"/>
    <w:rsid w:val="00BC7094"/>
    <w:rsid w:val="00BD0114"/>
    <w:rsid w:val="00BD249F"/>
    <w:rsid w:val="00BD357F"/>
    <w:rsid w:val="00BD3851"/>
    <w:rsid w:val="00BE0790"/>
    <w:rsid w:val="00BE2B5B"/>
    <w:rsid w:val="00BE3DAF"/>
    <w:rsid w:val="00BE4093"/>
    <w:rsid w:val="00BE5585"/>
    <w:rsid w:val="00BE68F9"/>
    <w:rsid w:val="00BE6DD4"/>
    <w:rsid w:val="00BE74E3"/>
    <w:rsid w:val="00BF154A"/>
    <w:rsid w:val="00BF1F44"/>
    <w:rsid w:val="00BF27F7"/>
    <w:rsid w:val="00BF5B85"/>
    <w:rsid w:val="00BF607E"/>
    <w:rsid w:val="00C004CA"/>
    <w:rsid w:val="00C01F08"/>
    <w:rsid w:val="00C043B3"/>
    <w:rsid w:val="00C11453"/>
    <w:rsid w:val="00C125E9"/>
    <w:rsid w:val="00C12EDD"/>
    <w:rsid w:val="00C14E8D"/>
    <w:rsid w:val="00C14FB8"/>
    <w:rsid w:val="00C1603C"/>
    <w:rsid w:val="00C177F0"/>
    <w:rsid w:val="00C17FA1"/>
    <w:rsid w:val="00C205B0"/>
    <w:rsid w:val="00C2098F"/>
    <w:rsid w:val="00C20EAD"/>
    <w:rsid w:val="00C214FE"/>
    <w:rsid w:val="00C217E6"/>
    <w:rsid w:val="00C23AB5"/>
    <w:rsid w:val="00C24D00"/>
    <w:rsid w:val="00C25B75"/>
    <w:rsid w:val="00C26112"/>
    <w:rsid w:val="00C30055"/>
    <w:rsid w:val="00C31300"/>
    <w:rsid w:val="00C32342"/>
    <w:rsid w:val="00C327B9"/>
    <w:rsid w:val="00C34F14"/>
    <w:rsid w:val="00C350B9"/>
    <w:rsid w:val="00C36F41"/>
    <w:rsid w:val="00C37FA1"/>
    <w:rsid w:val="00C4092C"/>
    <w:rsid w:val="00C41975"/>
    <w:rsid w:val="00C425B3"/>
    <w:rsid w:val="00C43061"/>
    <w:rsid w:val="00C430FC"/>
    <w:rsid w:val="00C458C6"/>
    <w:rsid w:val="00C46A7B"/>
    <w:rsid w:val="00C47216"/>
    <w:rsid w:val="00C5172F"/>
    <w:rsid w:val="00C532CE"/>
    <w:rsid w:val="00C55BAE"/>
    <w:rsid w:val="00C575FD"/>
    <w:rsid w:val="00C62FEF"/>
    <w:rsid w:val="00C63129"/>
    <w:rsid w:val="00C6448B"/>
    <w:rsid w:val="00C6490D"/>
    <w:rsid w:val="00C744C2"/>
    <w:rsid w:val="00C7494D"/>
    <w:rsid w:val="00C77B9D"/>
    <w:rsid w:val="00C80F3F"/>
    <w:rsid w:val="00C81143"/>
    <w:rsid w:val="00C82C9B"/>
    <w:rsid w:val="00C82CD4"/>
    <w:rsid w:val="00C83E8C"/>
    <w:rsid w:val="00C84BC6"/>
    <w:rsid w:val="00C851EB"/>
    <w:rsid w:val="00C8635C"/>
    <w:rsid w:val="00C92FB1"/>
    <w:rsid w:val="00C94827"/>
    <w:rsid w:val="00C97395"/>
    <w:rsid w:val="00CA15C3"/>
    <w:rsid w:val="00CA40CC"/>
    <w:rsid w:val="00CA4A81"/>
    <w:rsid w:val="00CA70BB"/>
    <w:rsid w:val="00CA735B"/>
    <w:rsid w:val="00CB166D"/>
    <w:rsid w:val="00CB50B2"/>
    <w:rsid w:val="00CC1180"/>
    <w:rsid w:val="00CC1BB6"/>
    <w:rsid w:val="00CC2409"/>
    <w:rsid w:val="00CC2E6F"/>
    <w:rsid w:val="00CC3903"/>
    <w:rsid w:val="00CC52FE"/>
    <w:rsid w:val="00CC7103"/>
    <w:rsid w:val="00CC75BD"/>
    <w:rsid w:val="00CD19AA"/>
    <w:rsid w:val="00CD47B6"/>
    <w:rsid w:val="00CD71CF"/>
    <w:rsid w:val="00CE06A0"/>
    <w:rsid w:val="00CF0555"/>
    <w:rsid w:val="00CF15E9"/>
    <w:rsid w:val="00CF1D55"/>
    <w:rsid w:val="00CF30AF"/>
    <w:rsid w:val="00CF5952"/>
    <w:rsid w:val="00CF5A62"/>
    <w:rsid w:val="00CF5EE6"/>
    <w:rsid w:val="00D04A9B"/>
    <w:rsid w:val="00D057A6"/>
    <w:rsid w:val="00D11F89"/>
    <w:rsid w:val="00D1447E"/>
    <w:rsid w:val="00D15E46"/>
    <w:rsid w:val="00D16755"/>
    <w:rsid w:val="00D17F66"/>
    <w:rsid w:val="00D21CE6"/>
    <w:rsid w:val="00D2241F"/>
    <w:rsid w:val="00D26441"/>
    <w:rsid w:val="00D26872"/>
    <w:rsid w:val="00D273FF"/>
    <w:rsid w:val="00D300CE"/>
    <w:rsid w:val="00D32B8B"/>
    <w:rsid w:val="00D33F7A"/>
    <w:rsid w:val="00D35DE5"/>
    <w:rsid w:val="00D36E49"/>
    <w:rsid w:val="00D37190"/>
    <w:rsid w:val="00D372F0"/>
    <w:rsid w:val="00D47DA9"/>
    <w:rsid w:val="00D47ED8"/>
    <w:rsid w:val="00D57120"/>
    <w:rsid w:val="00D57236"/>
    <w:rsid w:val="00D60200"/>
    <w:rsid w:val="00D609E4"/>
    <w:rsid w:val="00D6129B"/>
    <w:rsid w:val="00D62DB3"/>
    <w:rsid w:val="00D64027"/>
    <w:rsid w:val="00D65770"/>
    <w:rsid w:val="00D663FD"/>
    <w:rsid w:val="00D678CB"/>
    <w:rsid w:val="00D71197"/>
    <w:rsid w:val="00D74310"/>
    <w:rsid w:val="00D75FF2"/>
    <w:rsid w:val="00D778A2"/>
    <w:rsid w:val="00D838A2"/>
    <w:rsid w:val="00D847C2"/>
    <w:rsid w:val="00D86795"/>
    <w:rsid w:val="00D8700A"/>
    <w:rsid w:val="00D87D18"/>
    <w:rsid w:val="00D917A1"/>
    <w:rsid w:val="00D929E4"/>
    <w:rsid w:val="00D93745"/>
    <w:rsid w:val="00D96C7C"/>
    <w:rsid w:val="00D972AA"/>
    <w:rsid w:val="00D9781B"/>
    <w:rsid w:val="00DA1C01"/>
    <w:rsid w:val="00DA2CAA"/>
    <w:rsid w:val="00DA45EB"/>
    <w:rsid w:val="00DA4E05"/>
    <w:rsid w:val="00DA5447"/>
    <w:rsid w:val="00DA5E41"/>
    <w:rsid w:val="00DB5D9C"/>
    <w:rsid w:val="00DB7DB7"/>
    <w:rsid w:val="00DC0782"/>
    <w:rsid w:val="00DC10B9"/>
    <w:rsid w:val="00DC1AA3"/>
    <w:rsid w:val="00DC29D6"/>
    <w:rsid w:val="00DC32D5"/>
    <w:rsid w:val="00DC479E"/>
    <w:rsid w:val="00DC6E52"/>
    <w:rsid w:val="00DC735B"/>
    <w:rsid w:val="00DD0F10"/>
    <w:rsid w:val="00DD357C"/>
    <w:rsid w:val="00DD54E4"/>
    <w:rsid w:val="00DE11C0"/>
    <w:rsid w:val="00DE3CCB"/>
    <w:rsid w:val="00DE50BD"/>
    <w:rsid w:val="00DE6FE3"/>
    <w:rsid w:val="00DF0344"/>
    <w:rsid w:val="00DF17CF"/>
    <w:rsid w:val="00DF20E7"/>
    <w:rsid w:val="00DF2990"/>
    <w:rsid w:val="00DF2AE8"/>
    <w:rsid w:val="00DF5105"/>
    <w:rsid w:val="00DF6559"/>
    <w:rsid w:val="00DF6A49"/>
    <w:rsid w:val="00DF7183"/>
    <w:rsid w:val="00DF7CE5"/>
    <w:rsid w:val="00E007BE"/>
    <w:rsid w:val="00E01907"/>
    <w:rsid w:val="00E021C6"/>
    <w:rsid w:val="00E03050"/>
    <w:rsid w:val="00E0337D"/>
    <w:rsid w:val="00E0465B"/>
    <w:rsid w:val="00E050B2"/>
    <w:rsid w:val="00E05CE5"/>
    <w:rsid w:val="00E06032"/>
    <w:rsid w:val="00E061D7"/>
    <w:rsid w:val="00E0660C"/>
    <w:rsid w:val="00E12867"/>
    <w:rsid w:val="00E139A3"/>
    <w:rsid w:val="00E14567"/>
    <w:rsid w:val="00E15E9E"/>
    <w:rsid w:val="00E1735F"/>
    <w:rsid w:val="00E17C47"/>
    <w:rsid w:val="00E17E8D"/>
    <w:rsid w:val="00E2096A"/>
    <w:rsid w:val="00E2321A"/>
    <w:rsid w:val="00E25DF2"/>
    <w:rsid w:val="00E27AAF"/>
    <w:rsid w:val="00E3017A"/>
    <w:rsid w:val="00E306DF"/>
    <w:rsid w:val="00E312E9"/>
    <w:rsid w:val="00E34435"/>
    <w:rsid w:val="00E352E4"/>
    <w:rsid w:val="00E367B4"/>
    <w:rsid w:val="00E413B9"/>
    <w:rsid w:val="00E44568"/>
    <w:rsid w:val="00E44FC0"/>
    <w:rsid w:val="00E464D5"/>
    <w:rsid w:val="00E4678E"/>
    <w:rsid w:val="00E4693C"/>
    <w:rsid w:val="00E470FC"/>
    <w:rsid w:val="00E4769B"/>
    <w:rsid w:val="00E50D2A"/>
    <w:rsid w:val="00E53A50"/>
    <w:rsid w:val="00E54097"/>
    <w:rsid w:val="00E54892"/>
    <w:rsid w:val="00E56234"/>
    <w:rsid w:val="00E562EB"/>
    <w:rsid w:val="00E572F4"/>
    <w:rsid w:val="00E574FC"/>
    <w:rsid w:val="00E57E52"/>
    <w:rsid w:val="00E60432"/>
    <w:rsid w:val="00E62288"/>
    <w:rsid w:val="00E63525"/>
    <w:rsid w:val="00E67F1C"/>
    <w:rsid w:val="00E700B7"/>
    <w:rsid w:val="00E718D9"/>
    <w:rsid w:val="00E71C04"/>
    <w:rsid w:val="00E7254B"/>
    <w:rsid w:val="00E72847"/>
    <w:rsid w:val="00E72D98"/>
    <w:rsid w:val="00E746E1"/>
    <w:rsid w:val="00E74983"/>
    <w:rsid w:val="00E74BA6"/>
    <w:rsid w:val="00E75DCC"/>
    <w:rsid w:val="00E76F18"/>
    <w:rsid w:val="00E82BF9"/>
    <w:rsid w:val="00E85196"/>
    <w:rsid w:val="00E859DA"/>
    <w:rsid w:val="00E86F81"/>
    <w:rsid w:val="00E87B00"/>
    <w:rsid w:val="00E90069"/>
    <w:rsid w:val="00E90C44"/>
    <w:rsid w:val="00E97583"/>
    <w:rsid w:val="00E979D9"/>
    <w:rsid w:val="00EA031B"/>
    <w:rsid w:val="00EA07D6"/>
    <w:rsid w:val="00EA1404"/>
    <w:rsid w:val="00EA1714"/>
    <w:rsid w:val="00EA464B"/>
    <w:rsid w:val="00EA583A"/>
    <w:rsid w:val="00EA7F4A"/>
    <w:rsid w:val="00EB18AC"/>
    <w:rsid w:val="00EB1960"/>
    <w:rsid w:val="00EB45F1"/>
    <w:rsid w:val="00EB651D"/>
    <w:rsid w:val="00EC5A89"/>
    <w:rsid w:val="00EC677B"/>
    <w:rsid w:val="00ED0000"/>
    <w:rsid w:val="00ED4401"/>
    <w:rsid w:val="00ED6E88"/>
    <w:rsid w:val="00EE078E"/>
    <w:rsid w:val="00EE485D"/>
    <w:rsid w:val="00EE577F"/>
    <w:rsid w:val="00EF11AE"/>
    <w:rsid w:val="00EF131B"/>
    <w:rsid w:val="00EF39D2"/>
    <w:rsid w:val="00EF4D6E"/>
    <w:rsid w:val="00EF52F8"/>
    <w:rsid w:val="00EF5960"/>
    <w:rsid w:val="00EF7F33"/>
    <w:rsid w:val="00F00C4A"/>
    <w:rsid w:val="00F025A7"/>
    <w:rsid w:val="00F04D1F"/>
    <w:rsid w:val="00F05881"/>
    <w:rsid w:val="00F070A0"/>
    <w:rsid w:val="00F07E66"/>
    <w:rsid w:val="00F11EE9"/>
    <w:rsid w:val="00F122FF"/>
    <w:rsid w:val="00F161EA"/>
    <w:rsid w:val="00F16AED"/>
    <w:rsid w:val="00F17B3F"/>
    <w:rsid w:val="00F23C41"/>
    <w:rsid w:val="00F26844"/>
    <w:rsid w:val="00F30C03"/>
    <w:rsid w:val="00F3173B"/>
    <w:rsid w:val="00F328D6"/>
    <w:rsid w:val="00F3370E"/>
    <w:rsid w:val="00F361EC"/>
    <w:rsid w:val="00F441A1"/>
    <w:rsid w:val="00F447E8"/>
    <w:rsid w:val="00F44D12"/>
    <w:rsid w:val="00F466DD"/>
    <w:rsid w:val="00F47728"/>
    <w:rsid w:val="00F5029B"/>
    <w:rsid w:val="00F502AA"/>
    <w:rsid w:val="00F51ADC"/>
    <w:rsid w:val="00F52045"/>
    <w:rsid w:val="00F54439"/>
    <w:rsid w:val="00F57D2D"/>
    <w:rsid w:val="00F669DD"/>
    <w:rsid w:val="00F70179"/>
    <w:rsid w:val="00F7017D"/>
    <w:rsid w:val="00F7234F"/>
    <w:rsid w:val="00F723CB"/>
    <w:rsid w:val="00F74005"/>
    <w:rsid w:val="00F749CF"/>
    <w:rsid w:val="00F750CF"/>
    <w:rsid w:val="00F752EF"/>
    <w:rsid w:val="00F75E1F"/>
    <w:rsid w:val="00F76F01"/>
    <w:rsid w:val="00F819B2"/>
    <w:rsid w:val="00F8371B"/>
    <w:rsid w:val="00F847F2"/>
    <w:rsid w:val="00F86176"/>
    <w:rsid w:val="00F87682"/>
    <w:rsid w:val="00F90E4C"/>
    <w:rsid w:val="00F9140D"/>
    <w:rsid w:val="00F9616A"/>
    <w:rsid w:val="00F96A81"/>
    <w:rsid w:val="00FA3850"/>
    <w:rsid w:val="00FA4297"/>
    <w:rsid w:val="00FA4BF1"/>
    <w:rsid w:val="00FA70B5"/>
    <w:rsid w:val="00FB0A94"/>
    <w:rsid w:val="00FB2065"/>
    <w:rsid w:val="00FB223B"/>
    <w:rsid w:val="00FB3163"/>
    <w:rsid w:val="00FB35DD"/>
    <w:rsid w:val="00FB4221"/>
    <w:rsid w:val="00FB6C30"/>
    <w:rsid w:val="00FB6D7F"/>
    <w:rsid w:val="00FC1560"/>
    <w:rsid w:val="00FC4940"/>
    <w:rsid w:val="00FC7268"/>
    <w:rsid w:val="00FD0833"/>
    <w:rsid w:val="00FD232B"/>
    <w:rsid w:val="00FD29F1"/>
    <w:rsid w:val="00FD370C"/>
    <w:rsid w:val="00FD4C8F"/>
    <w:rsid w:val="00FD5290"/>
    <w:rsid w:val="00FD576B"/>
    <w:rsid w:val="00FD6908"/>
    <w:rsid w:val="00FD6A5D"/>
    <w:rsid w:val="00FD72BA"/>
    <w:rsid w:val="00FD7887"/>
    <w:rsid w:val="00FD7EF8"/>
    <w:rsid w:val="00FE0C11"/>
    <w:rsid w:val="00FE1532"/>
    <w:rsid w:val="00FE1D9A"/>
    <w:rsid w:val="00FE231F"/>
    <w:rsid w:val="00FE2710"/>
    <w:rsid w:val="00FE2E9D"/>
    <w:rsid w:val="00FE67FA"/>
    <w:rsid w:val="00FE6BA3"/>
    <w:rsid w:val="00FF5759"/>
    <w:rsid w:val="00FF7791"/>
    <w:rsid w:val="00FF7B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783F75"/>
  <w15:docId w15:val="{2A7540DD-878C-4900-8AE3-62D6A900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0BB7"/>
    <w:pPr>
      <w:spacing w:before="120" w:line="360" w:lineRule="auto"/>
      <w:jc w:val="both"/>
    </w:pPr>
    <w:rPr>
      <w:rFonts w:ascii="Arial" w:hAnsi="Arial"/>
      <w:sz w:val="22"/>
      <w:szCs w:val="24"/>
    </w:rPr>
  </w:style>
  <w:style w:type="paragraph" w:styleId="berschrift1">
    <w:name w:val="heading 1"/>
    <w:basedOn w:val="Standard"/>
    <w:next w:val="Standard"/>
    <w:link w:val="berschrift1Zchn"/>
    <w:uiPriority w:val="9"/>
    <w:qFormat/>
    <w:rsid w:val="00A77631"/>
    <w:pPr>
      <w:widowControl w:val="0"/>
      <w:numPr>
        <w:numId w:val="1"/>
      </w:numPr>
      <w:tabs>
        <w:tab w:val="left" w:pos="426"/>
      </w:tabs>
      <w:ind w:left="431" w:hanging="431"/>
      <w:outlineLvl w:val="0"/>
    </w:pPr>
    <w:rPr>
      <w:b/>
      <w:bCs/>
      <w:szCs w:val="28"/>
      <w:lang w:eastAsia="en-US"/>
    </w:rPr>
  </w:style>
  <w:style w:type="paragraph" w:styleId="berschrift2">
    <w:name w:val="heading 2"/>
    <w:basedOn w:val="Standard"/>
    <w:next w:val="Standard"/>
    <w:link w:val="berschrift2Zchn"/>
    <w:uiPriority w:val="9"/>
    <w:unhideWhenUsed/>
    <w:qFormat/>
    <w:rsid w:val="004C41FE"/>
    <w:pPr>
      <w:keepLines/>
      <w:widowControl w:val="0"/>
      <w:numPr>
        <w:ilvl w:val="1"/>
        <w:numId w:val="1"/>
      </w:numPr>
      <w:tabs>
        <w:tab w:val="left" w:pos="567"/>
      </w:tabs>
      <w:ind w:left="567" w:hanging="567"/>
      <w:outlineLvl w:val="1"/>
    </w:pPr>
    <w:rPr>
      <w:rFonts w:cs="Arial"/>
      <w:b/>
      <w:bCs/>
      <w:szCs w:val="22"/>
      <w:lang w:eastAsia="en-US"/>
    </w:rPr>
  </w:style>
  <w:style w:type="paragraph" w:styleId="berschrift3">
    <w:name w:val="heading 3"/>
    <w:basedOn w:val="Standard"/>
    <w:next w:val="Standard"/>
    <w:link w:val="berschrift3Zchn"/>
    <w:uiPriority w:val="9"/>
    <w:unhideWhenUsed/>
    <w:qFormat/>
    <w:rsid w:val="004C41FE"/>
    <w:pPr>
      <w:keepNext/>
      <w:keepLines/>
      <w:numPr>
        <w:ilvl w:val="2"/>
        <w:numId w:val="1"/>
      </w:numPr>
      <w:tabs>
        <w:tab w:val="left" w:pos="567"/>
      </w:tabs>
      <w:spacing w:before="200"/>
      <w:ind w:left="567" w:hanging="567"/>
      <w:outlineLvl w:val="2"/>
    </w:pPr>
    <w:rPr>
      <w:rFonts w:cs="Arial"/>
      <w:b/>
      <w:bCs/>
      <w:szCs w:val="22"/>
      <w:lang w:eastAsia="en-US"/>
    </w:rPr>
  </w:style>
  <w:style w:type="paragraph" w:styleId="berschrift4">
    <w:name w:val="heading 4"/>
    <w:basedOn w:val="Standard"/>
    <w:next w:val="Standard"/>
    <w:link w:val="berschrift4Zchn"/>
    <w:autoRedefine/>
    <w:uiPriority w:val="9"/>
    <w:unhideWhenUsed/>
    <w:qFormat/>
    <w:rsid w:val="00D1447E"/>
    <w:pPr>
      <w:keepNext/>
      <w:keepLines/>
      <w:spacing w:before="200"/>
      <w:outlineLvl w:val="3"/>
    </w:pPr>
    <w:rPr>
      <w:b/>
      <w:bCs/>
      <w:iCs/>
      <w:szCs w:val="22"/>
      <w:lang w:eastAsia="en-US"/>
    </w:rPr>
  </w:style>
  <w:style w:type="paragraph" w:styleId="berschrift5">
    <w:name w:val="heading 5"/>
    <w:basedOn w:val="Standard"/>
    <w:next w:val="Standard"/>
    <w:link w:val="berschrift5Zchn"/>
    <w:uiPriority w:val="9"/>
    <w:semiHidden/>
    <w:unhideWhenUsed/>
    <w:qFormat/>
    <w:rsid w:val="00A77631"/>
    <w:pPr>
      <w:keepNext/>
      <w:keepLines/>
      <w:numPr>
        <w:ilvl w:val="4"/>
        <w:numId w:val="1"/>
      </w:numPr>
      <w:spacing w:before="200"/>
      <w:outlineLvl w:val="4"/>
    </w:pPr>
    <w:rPr>
      <w:rFonts w:ascii="Cambria" w:hAnsi="Cambria"/>
      <w:color w:val="243F60"/>
      <w:szCs w:val="22"/>
      <w:lang w:eastAsia="en-US"/>
    </w:rPr>
  </w:style>
  <w:style w:type="paragraph" w:styleId="berschrift6">
    <w:name w:val="heading 6"/>
    <w:basedOn w:val="Standard"/>
    <w:next w:val="Standard"/>
    <w:link w:val="berschrift6Zchn"/>
    <w:uiPriority w:val="9"/>
    <w:semiHidden/>
    <w:unhideWhenUsed/>
    <w:qFormat/>
    <w:rsid w:val="00A77631"/>
    <w:pPr>
      <w:keepNext/>
      <w:keepLines/>
      <w:numPr>
        <w:ilvl w:val="5"/>
        <w:numId w:val="1"/>
      </w:numPr>
      <w:spacing w:before="200"/>
      <w:outlineLvl w:val="5"/>
    </w:pPr>
    <w:rPr>
      <w:rFonts w:ascii="Cambria" w:hAnsi="Cambria"/>
      <w:i/>
      <w:iCs/>
      <w:color w:val="243F60"/>
      <w:szCs w:val="22"/>
      <w:lang w:eastAsia="en-US"/>
    </w:rPr>
  </w:style>
  <w:style w:type="paragraph" w:styleId="berschrift7">
    <w:name w:val="heading 7"/>
    <w:basedOn w:val="Standard"/>
    <w:next w:val="Standard"/>
    <w:link w:val="berschrift7Zchn"/>
    <w:uiPriority w:val="9"/>
    <w:semiHidden/>
    <w:unhideWhenUsed/>
    <w:qFormat/>
    <w:rsid w:val="00A77631"/>
    <w:pPr>
      <w:keepNext/>
      <w:keepLines/>
      <w:numPr>
        <w:ilvl w:val="6"/>
        <w:numId w:val="1"/>
      </w:numPr>
      <w:spacing w:before="200"/>
      <w:outlineLvl w:val="6"/>
    </w:pPr>
    <w:rPr>
      <w:rFonts w:ascii="Cambria" w:hAnsi="Cambria"/>
      <w:i/>
      <w:iCs/>
      <w:color w:val="404040"/>
      <w:szCs w:val="22"/>
      <w:lang w:eastAsia="en-US"/>
    </w:rPr>
  </w:style>
  <w:style w:type="paragraph" w:styleId="berschrift8">
    <w:name w:val="heading 8"/>
    <w:basedOn w:val="Standard"/>
    <w:next w:val="Standard"/>
    <w:link w:val="berschrift8Zchn"/>
    <w:uiPriority w:val="9"/>
    <w:semiHidden/>
    <w:unhideWhenUsed/>
    <w:qFormat/>
    <w:rsid w:val="00A77631"/>
    <w:pPr>
      <w:keepNext/>
      <w:keepLines/>
      <w:numPr>
        <w:ilvl w:val="7"/>
        <w:numId w:val="1"/>
      </w:numPr>
      <w:spacing w:before="200"/>
      <w:outlineLvl w:val="7"/>
    </w:pPr>
    <w:rPr>
      <w:rFonts w:ascii="Cambria" w:hAnsi="Cambria"/>
      <w:color w:val="404040"/>
      <w:sz w:val="20"/>
      <w:szCs w:val="20"/>
      <w:lang w:eastAsia="en-US"/>
    </w:rPr>
  </w:style>
  <w:style w:type="paragraph" w:styleId="berschrift9">
    <w:name w:val="heading 9"/>
    <w:basedOn w:val="Standard"/>
    <w:next w:val="Standard"/>
    <w:link w:val="berschrift9Zchn"/>
    <w:uiPriority w:val="9"/>
    <w:semiHidden/>
    <w:unhideWhenUsed/>
    <w:qFormat/>
    <w:rsid w:val="00A77631"/>
    <w:pPr>
      <w:keepNext/>
      <w:keepLines/>
      <w:numPr>
        <w:ilvl w:val="8"/>
        <w:numId w:val="1"/>
      </w:numPr>
      <w:spacing w:before="200"/>
      <w:outlineLvl w:val="8"/>
    </w:pPr>
    <w:rPr>
      <w:rFonts w:ascii="Cambria" w:hAnsi="Cambria"/>
      <w:i/>
      <w:iCs/>
      <w:color w:val="404040"/>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A77631"/>
    <w:rPr>
      <w:rFonts w:ascii="Arial" w:hAnsi="Arial" w:cs="Times New Roman"/>
      <w:b/>
      <w:bCs/>
      <w:sz w:val="28"/>
      <w:szCs w:val="28"/>
    </w:rPr>
  </w:style>
  <w:style w:type="character" w:customStyle="1" w:styleId="berschrift2Zchn">
    <w:name w:val="Überschrift 2 Zchn"/>
    <w:basedOn w:val="Absatz-Standardschriftart"/>
    <w:link w:val="berschrift2"/>
    <w:uiPriority w:val="9"/>
    <w:locked/>
    <w:rsid w:val="004C41FE"/>
    <w:rPr>
      <w:rFonts w:ascii="Arial" w:hAnsi="Arial" w:cs="Arial"/>
      <w:b/>
      <w:bCs/>
    </w:rPr>
  </w:style>
  <w:style w:type="character" w:customStyle="1" w:styleId="berschrift3Zchn">
    <w:name w:val="Überschrift 3 Zchn"/>
    <w:basedOn w:val="Absatz-Standardschriftart"/>
    <w:link w:val="berschrift3"/>
    <w:uiPriority w:val="9"/>
    <w:locked/>
    <w:rsid w:val="004C41FE"/>
    <w:rPr>
      <w:rFonts w:ascii="Arial" w:hAnsi="Arial" w:cs="Arial"/>
      <w:b/>
      <w:bCs/>
    </w:rPr>
  </w:style>
  <w:style w:type="character" w:customStyle="1" w:styleId="berschrift4Zchn">
    <w:name w:val="Überschrift 4 Zchn"/>
    <w:basedOn w:val="Absatz-Standardschriftart"/>
    <w:link w:val="berschrift4"/>
    <w:uiPriority w:val="9"/>
    <w:locked/>
    <w:rsid w:val="00D1447E"/>
    <w:rPr>
      <w:rFonts w:ascii="Arial" w:hAnsi="Arial"/>
      <w:b/>
      <w:bCs/>
      <w:iCs/>
      <w:sz w:val="22"/>
      <w:szCs w:val="22"/>
      <w:lang w:eastAsia="en-US"/>
    </w:rPr>
  </w:style>
  <w:style w:type="character" w:customStyle="1" w:styleId="berschrift5Zchn">
    <w:name w:val="Überschrift 5 Zchn"/>
    <w:basedOn w:val="Absatz-Standardschriftart"/>
    <w:link w:val="berschrift5"/>
    <w:uiPriority w:val="9"/>
    <w:semiHidden/>
    <w:locked/>
    <w:rsid w:val="00A77631"/>
    <w:rPr>
      <w:rFonts w:ascii="Cambria" w:hAnsi="Cambria" w:cs="Times New Roman"/>
      <w:color w:val="243F60"/>
    </w:rPr>
  </w:style>
  <w:style w:type="character" w:customStyle="1" w:styleId="berschrift6Zchn">
    <w:name w:val="Überschrift 6 Zchn"/>
    <w:basedOn w:val="Absatz-Standardschriftart"/>
    <w:link w:val="berschrift6"/>
    <w:uiPriority w:val="9"/>
    <w:semiHidden/>
    <w:locked/>
    <w:rsid w:val="00A77631"/>
    <w:rPr>
      <w:rFonts w:ascii="Cambria" w:hAnsi="Cambria" w:cs="Times New Roman"/>
      <w:i/>
      <w:iCs/>
      <w:color w:val="243F60"/>
    </w:rPr>
  </w:style>
  <w:style w:type="character" w:customStyle="1" w:styleId="berschrift7Zchn">
    <w:name w:val="Überschrift 7 Zchn"/>
    <w:basedOn w:val="Absatz-Standardschriftart"/>
    <w:link w:val="berschrift7"/>
    <w:uiPriority w:val="9"/>
    <w:semiHidden/>
    <w:locked/>
    <w:rsid w:val="00A77631"/>
    <w:rPr>
      <w:rFonts w:ascii="Cambria" w:hAnsi="Cambria" w:cs="Times New Roman"/>
      <w:i/>
      <w:iCs/>
      <w:color w:val="404040"/>
    </w:rPr>
  </w:style>
  <w:style w:type="character" w:customStyle="1" w:styleId="berschrift8Zchn">
    <w:name w:val="Überschrift 8 Zchn"/>
    <w:basedOn w:val="Absatz-Standardschriftart"/>
    <w:link w:val="berschrift8"/>
    <w:uiPriority w:val="9"/>
    <w:semiHidden/>
    <w:locked/>
    <w:rsid w:val="00A77631"/>
    <w:rPr>
      <w:rFonts w:ascii="Cambria" w:hAnsi="Cambria" w:cs="Times New Roman"/>
      <w:color w:val="404040"/>
      <w:sz w:val="20"/>
      <w:szCs w:val="20"/>
    </w:rPr>
  </w:style>
  <w:style w:type="character" w:customStyle="1" w:styleId="berschrift9Zchn">
    <w:name w:val="Überschrift 9 Zchn"/>
    <w:basedOn w:val="Absatz-Standardschriftart"/>
    <w:link w:val="berschrift9"/>
    <w:uiPriority w:val="9"/>
    <w:semiHidden/>
    <w:locked/>
    <w:rsid w:val="00A77631"/>
    <w:rPr>
      <w:rFonts w:ascii="Cambria" w:hAnsi="Cambria" w:cs="Times New Roman"/>
      <w:i/>
      <w:iCs/>
      <w:color w:val="404040"/>
      <w:sz w:val="20"/>
      <w:szCs w:val="20"/>
    </w:rPr>
  </w:style>
  <w:style w:type="paragraph" w:styleId="Funotentext">
    <w:name w:val="footnote text"/>
    <w:basedOn w:val="Standard"/>
    <w:link w:val="FunotentextZchn"/>
    <w:uiPriority w:val="99"/>
    <w:semiHidden/>
    <w:qFormat/>
    <w:rsid w:val="002C429E"/>
    <w:pPr>
      <w:spacing w:line="240" w:lineRule="auto"/>
    </w:pPr>
    <w:rPr>
      <w:sz w:val="18"/>
      <w:szCs w:val="22"/>
      <w:lang w:eastAsia="en-US"/>
    </w:rPr>
  </w:style>
  <w:style w:type="character" w:customStyle="1" w:styleId="FunotentextZchn">
    <w:name w:val="Fußnotentext Zchn"/>
    <w:basedOn w:val="Absatz-Standardschriftart"/>
    <w:link w:val="Funotentext"/>
    <w:uiPriority w:val="99"/>
    <w:semiHidden/>
    <w:locked/>
    <w:rsid w:val="002C429E"/>
    <w:rPr>
      <w:rFonts w:ascii="Arial" w:hAnsi="Arial" w:cs="Times New Roman"/>
      <w:sz w:val="18"/>
    </w:rPr>
  </w:style>
  <w:style w:type="paragraph" w:styleId="Kopfzeile">
    <w:name w:val="header"/>
    <w:basedOn w:val="Standard"/>
    <w:link w:val="KopfzeileZchn"/>
    <w:uiPriority w:val="99"/>
    <w:unhideWhenUsed/>
    <w:qFormat/>
    <w:rsid w:val="00C327B9"/>
    <w:pPr>
      <w:tabs>
        <w:tab w:val="center" w:pos="4536"/>
        <w:tab w:val="right" w:pos="9072"/>
      </w:tabs>
      <w:spacing w:before="0" w:line="240" w:lineRule="auto"/>
    </w:pPr>
    <w:rPr>
      <w:sz w:val="19"/>
      <w:szCs w:val="19"/>
      <w:lang w:eastAsia="en-US"/>
    </w:rPr>
  </w:style>
  <w:style w:type="character" w:customStyle="1" w:styleId="KopfzeileZchn">
    <w:name w:val="Kopfzeile Zchn"/>
    <w:basedOn w:val="Absatz-Standardschriftart"/>
    <w:link w:val="Kopfzeile"/>
    <w:uiPriority w:val="99"/>
    <w:locked/>
    <w:rsid w:val="00C327B9"/>
    <w:rPr>
      <w:rFonts w:ascii="Arial" w:hAnsi="Arial" w:cs="Times New Roman"/>
      <w:sz w:val="19"/>
      <w:szCs w:val="19"/>
    </w:rPr>
  </w:style>
  <w:style w:type="paragraph" w:styleId="Fuzeile">
    <w:name w:val="footer"/>
    <w:basedOn w:val="Standard"/>
    <w:link w:val="FuzeileZchn"/>
    <w:uiPriority w:val="99"/>
    <w:unhideWhenUsed/>
    <w:qFormat/>
    <w:rsid w:val="00175D3D"/>
    <w:pPr>
      <w:tabs>
        <w:tab w:val="center" w:pos="4536"/>
        <w:tab w:val="right" w:pos="9072"/>
      </w:tabs>
      <w:spacing w:before="0" w:line="280" w:lineRule="exact"/>
      <w:jc w:val="right"/>
    </w:pPr>
    <w:rPr>
      <w:sz w:val="19"/>
      <w:szCs w:val="19"/>
      <w:lang w:eastAsia="en-US"/>
    </w:rPr>
  </w:style>
  <w:style w:type="character" w:customStyle="1" w:styleId="FuzeileZchn">
    <w:name w:val="Fußzeile Zchn"/>
    <w:basedOn w:val="Absatz-Standardschriftart"/>
    <w:link w:val="Fuzeile"/>
    <w:uiPriority w:val="99"/>
    <w:locked/>
    <w:rsid w:val="00175D3D"/>
    <w:rPr>
      <w:rFonts w:ascii="Arial" w:hAnsi="Arial" w:cs="Times New Roman"/>
      <w:sz w:val="19"/>
      <w:szCs w:val="19"/>
    </w:rPr>
  </w:style>
  <w:style w:type="paragraph" w:styleId="Titel">
    <w:name w:val="Title"/>
    <w:basedOn w:val="Standard"/>
    <w:next w:val="Standard"/>
    <w:link w:val="TitelZchn"/>
    <w:autoRedefine/>
    <w:uiPriority w:val="10"/>
    <w:qFormat/>
    <w:rsid w:val="008E693E"/>
    <w:rPr>
      <w:b/>
      <w:color w:val="A71930"/>
      <w:szCs w:val="52"/>
      <w:lang w:eastAsia="en-US"/>
    </w:rPr>
  </w:style>
  <w:style w:type="character" w:customStyle="1" w:styleId="TitelZchn">
    <w:name w:val="Titel Zchn"/>
    <w:basedOn w:val="Absatz-Standardschriftart"/>
    <w:link w:val="Titel"/>
    <w:uiPriority w:val="10"/>
    <w:locked/>
    <w:rsid w:val="008E693E"/>
    <w:rPr>
      <w:rFonts w:ascii="Arial" w:hAnsi="Arial"/>
      <w:b/>
      <w:color w:val="A71930"/>
      <w:sz w:val="22"/>
      <w:szCs w:val="52"/>
      <w:lang w:eastAsia="en-US"/>
    </w:rPr>
  </w:style>
  <w:style w:type="character" w:styleId="Hyperlink">
    <w:name w:val="Hyperlink"/>
    <w:basedOn w:val="Absatz-Standardschriftart"/>
    <w:uiPriority w:val="99"/>
    <w:unhideWhenUsed/>
    <w:rsid w:val="00A77631"/>
    <w:rPr>
      <w:rFonts w:cs="Times New Roman"/>
      <w:color w:val="0000FF"/>
      <w:u w:val="single"/>
    </w:rPr>
  </w:style>
  <w:style w:type="character" w:styleId="Funotenzeichen">
    <w:name w:val="footnote reference"/>
    <w:basedOn w:val="Absatz-Standardschriftart"/>
    <w:uiPriority w:val="99"/>
    <w:semiHidden/>
    <w:unhideWhenUsed/>
    <w:rsid w:val="007667BF"/>
    <w:rPr>
      <w:rFonts w:cs="Times New Roman"/>
      <w:vertAlign w:val="superscript"/>
    </w:rPr>
  </w:style>
  <w:style w:type="paragraph" w:styleId="Listenabsatz">
    <w:name w:val="List Paragraph"/>
    <w:basedOn w:val="Standard"/>
    <w:uiPriority w:val="34"/>
    <w:qFormat/>
    <w:rsid w:val="0064296B"/>
    <w:pPr>
      <w:numPr>
        <w:ilvl w:val="1"/>
        <w:numId w:val="4"/>
      </w:numPr>
      <w:contextualSpacing/>
    </w:pPr>
    <w:rPr>
      <w:szCs w:val="22"/>
      <w:lang w:eastAsia="en-US"/>
    </w:rPr>
  </w:style>
  <w:style w:type="table" w:styleId="Tabellenraster">
    <w:name w:val="Table Grid"/>
    <w:basedOn w:val="NormaleTabelle"/>
    <w:uiPriority w:val="59"/>
    <w:rsid w:val="00C47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87460"/>
    <w:pPr>
      <w:spacing w:before="0" w:line="240" w:lineRule="auto"/>
    </w:pPr>
    <w:rPr>
      <w:rFonts w:ascii="Tahoma" w:hAnsi="Tahoma" w:cs="Tahoma"/>
      <w:sz w:val="16"/>
      <w:szCs w:val="16"/>
      <w:lang w:eastAsia="en-US"/>
    </w:rPr>
  </w:style>
  <w:style w:type="character" w:customStyle="1" w:styleId="SprechblasentextZchn">
    <w:name w:val="Sprechblasentext Zchn"/>
    <w:basedOn w:val="Absatz-Standardschriftart"/>
    <w:link w:val="Sprechblasentext"/>
    <w:uiPriority w:val="99"/>
    <w:semiHidden/>
    <w:locked/>
    <w:rsid w:val="00687460"/>
    <w:rPr>
      <w:rFonts w:ascii="Tahoma" w:hAnsi="Tahoma" w:cs="Tahoma"/>
      <w:sz w:val="16"/>
      <w:szCs w:val="16"/>
    </w:rPr>
  </w:style>
  <w:style w:type="character" w:styleId="Fett">
    <w:name w:val="Strong"/>
    <w:basedOn w:val="Absatz-Standardschriftart"/>
    <w:uiPriority w:val="22"/>
    <w:qFormat/>
    <w:rsid w:val="00687460"/>
    <w:rPr>
      <w:rFonts w:cs="Times New Roman"/>
      <w:b/>
      <w:bCs/>
    </w:rPr>
  </w:style>
  <w:style w:type="paragraph" w:styleId="Zitat">
    <w:name w:val="Quote"/>
    <w:basedOn w:val="Standard"/>
    <w:next w:val="Standard"/>
    <w:link w:val="ZitatZchn"/>
    <w:uiPriority w:val="29"/>
    <w:qFormat/>
    <w:rsid w:val="00687460"/>
    <w:rPr>
      <w:i/>
      <w:iCs/>
      <w:color w:val="000000"/>
      <w:szCs w:val="22"/>
      <w:lang w:eastAsia="en-US"/>
    </w:rPr>
  </w:style>
  <w:style w:type="character" w:customStyle="1" w:styleId="ZitatZchn">
    <w:name w:val="Zitat Zchn"/>
    <w:basedOn w:val="Absatz-Standardschriftart"/>
    <w:link w:val="Zitat"/>
    <w:uiPriority w:val="29"/>
    <w:locked/>
    <w:rsid w:val="00687460"/>
    <w:rPr>
      <w:rFonts w:ascii="Arial" w:hAnsi="Arial" w:cs="Times New Roman"/>
      <w:i/>
      <w:iCs/>
      <w:color w:val="000000"/>
    </w:rPr>
  </w:style>
  <w:style w:type="paragraph" w:customStyle="1" w:styleId="Drucksachennummer">
    <w:name w:val="Drucksachennummer"/>
    <w:basedOn w:val="Standard"/>
    <w:rsid w:val="0006137B"/>
    <w:pPr>
      <w:jc w:val="right"/>
    </w:pPr>
    <w:rPr>
      <w:b/>
      <w:bCs/>
      <w:i/>
      <w:iCs/>
      <w:szCs w:val="20"/>
    </w:rPr>
  </w:style>
  <w:style w:type="character" w:styleId="Kommentarzeichen">
    <w:name w:val="annotation reference"/>
    <w:basedOn w:val="Absatz-Standardschriftart"/>
    <w:uiPriority w:val="99"/>
    <w:semiHidden/>
    <w:unhideWhenUsed/>
    <w:rsid w:val="009B48C0"/>
    <w:rPr>
      <w:rFonts w:cs="Times New Roman"/>
      <w:sz w:val="16"/>
      <w:szCs w:val="16"/>
    </w:rPr>
  </w:style>
  <w:style w:type="paragraph" w:styleId="Kommentartext">
    <w:name w:val="annotation text"/>
    <w:basedOn w:val="Standard"/>
    <w:link w:val="KommentartextZchn"/>
    <w:uiPriority w:val="99"/>
    <w:unhideWhenUsed/>
    <w:rsid w:val="009B48C0"/>
    <w:pPr>
      <w:spacing w:line="240" w:lineRule="auto"/>
    </w:pPr>
    <w:rPr>
      <w:sz w:val="20"/>
      <w:szCs w:val="20"/>
    </w:rPr>
  </w:style>
  <w:style w:type="character" w:customStyle="1" w:styleId="KommentartextZchn">
    <w:name w:val="Kommentartext Zchn"/>
    <w:basedOn w:val="Absatz-Standardschriftart"/>
    <w:link w:val="Kommentartext"/>
    <w:uiPriority w:val="99"/>
    <w:locked/>
    <w:rsid w:val="009B48C0"/>
    <w:rPr>
      <w:rFonts w:ascii="Arial" w:hAnsi="Arial" w:cs="Times New Roman"/>
      <w:sz w:val="20"/>
      <w:szCs w:val="20"/>
      <w:lang w:val="x-none" w:eastAsia="de-DE"/>
    </w:rPr>
  </w:style>
  <w:style w:type="paragraph" w:styleId="Kommentarthema">
    <w:name w:val="annotation subject"/>
    <w:basedOn w:val="Kommentartext"/>
    <w:next w:val="Kommentartext"/>
    <w:link w:val="KommentarthemaZchn"/>
    <w:uiPriority w:val="99"/>
    <w:semiHidden/>
    <w:unhideWhenUsed/>
    <w:rsid w:val="009B48C0"/>
    <w:rPr>
      <w:b/>
      <w:bCs/>
    </w:rPr>
  </w:style>
  <w:style w:type="character" w:customStyle="1" w:styleId="KommentarthemaZchn">
    <w:name w:val="Kommentarthema Zchn"/>
    <w:basedOn w:val="KommentartextZchn"/>
    <w:link w:val="Kommentarthema"/>
    <w:uiPriority w:val="99"/>
    <w:semiHidden/>
    <w:locked/>
    <w:rsid w:val="009B48C0"/>
    <w:rPr>
      <w:rFonts w:ascii="Arial" w:hAnsi="Arial" w:cs="Times New Roman"/>
      <w:b/>
      <w:bCs/>
      <w:sz w:val="20"/>
      <w:szCs w:val="20"/>
      <w:lang w:val="x-none" w:eastAsia="de-DE"/>
    </w:rPr>
  </w:style>
  <w:style w:type="paragraph" w:styleId="Inhaltsverzeichnisberschrift">
    <w:name w:val="TOC Heading"/>
    <w:basedOn w:val="berschrift1"/>
    <w:next w:val="Standard"/>
    <w:link w:val="InhaltsverzeichnisberschriftZchn"/>
    <w:autoRedefine/>
    <w:uiPriority w:val="39"/>
    <w:unhideWhenUsed/>
    <w:qFormat/>
    <w:rsid w:val="00DA1C01"/>
    <w:pPr>
      <w:keepNext/>
      <w:keepLines/>
      <w:widowControl/>
      <w:numPr>
        <w:numId w:val="0"/>
      </w:numPr>
      <w:tabs>
        <w:tab w:val="clear" w:pos="426"/>
      </w:tabs>
      <w:spacing w:before="0"/>
      <w:jc w:val="left"/>
      <w:outlineLvl w:val="9"/>
    </w:pPr>
    <w:rPr>
      <w:rFonts w:cs="Arial"/>
      <w:bCs w:val="0"/>
      <w:sz w:val="20"/>
      <w:szCs w:val="20"/>
      <w:lang w:eastAsia="de-DE"/>
    </w:rPr>
  </w:style>
  <w:style w:type="paragraph" w:styleId="Verzeichnis2">
    <w:name w:val="toc 2"/>
    <w:basedOn w:val="Standard"/>
    <w:next w:val="Standard"/>
    <w:link w:val="Verzeichnis2Zchn"/>
    <w:autoRedefine/>
    <w:uiPriority w:val="39"/>
    <w:unhideWhenUsed/>
    <w:rsid w:val="00C177F0"/>
    <w:pPr>
      <w:tabs>
        <w:tab w:val="right" w:leader="dot" w:pos="9344"/>
      </w:tabs>
      <w:ind w:left="220"/>
      <w:jc w:val="left"/>
    </w:pPr>
    <w:rPr>
      <w:rFonts w:asciiTheme="minorHAnsi" w:hAnsiTheme="minorHAnsi"/>
      <w:i/>
      <w:iCs/>
      <w:sz w:val="20"/>
      <w:szCs w:val="20"/>
    </w:rPr>
  </w:style>
  <w:style w:type="paragraph" w:styleId="Verzeichnis1">
    <w:name w:val="toc 1"/>
    <w:basedOn w:val="Standard"/>
    <w:next w:val="Standard"/>
    <w:autoRedefine/>
    <w:uiPriority w:val="39"/>
    <w:unhideWhenUsed/>
    <w:rsid w:val="00F75E1F"/>
    <w:pPr>
      <w:tabs>
        <w:tab w:val="left" w:pos="440"/>
        <w:tab w:val="right" w:leader="dot" w:pos="9344"/>
      </w:tabs>
      <w:spacing w:after="120" w:line="276" w:lineRule="auto"/>
      <w:jc w:val="left"/>
    </w:pPr>
    <w:rPr>
      <w:rFonts w:asciiTheme="minorHAnsi" w:hAnsiTheme="minorHAnsi"/>
      <w:b/>
      <w:bCs/>
      <w:sz w:val="20"/>
      <w:szCs w:val="20"/>
    </w:rPr>
  </w:style>
  <w:style w:type="paragraph" w:styleId="Verzeichnis3">
    <w:name w:val="toc 3"/>
    <w:basedOn w:val="Standard"/>
    <w:next w:val="Standard"/>
    <w:autoRedefine/>
    <w:uiPriority w:val="39"/>
    <w:unhideWhenUsed/>
    <w:rsid w:val="007D1382"/>
    <w:pPr>
      <w:spacing w:before="0"/>
      <w:ind w:left="440"/>
      <w:jc w:val="left"/>
    </w:pPr>
    <w:rPr>
      <w:rFonts w:asciiTheme="minorHAnsi" w:hAnsiTheme="minorHAnsi"/>
      <w:sz w:val="20"/>
      <w:szCs w:val="20"/>
    </w:rPr>
  </w:style>
  <w:style w:type="paragraph" w:customStyle="1" w:styleId="FormatvorlageGutachtenraster">
    <w:name w:val="Formatvorlage Gutachtenraster"/>
    <w:basedOn w:val="Standard"/>
    <w:link w:val="FormatvorlageGutachtenrasterZchn"/>
    <w:qFormat/>
    <w:rsid w:val="000419D9"/>
  </w:style>
  <w:style w:type="character" w:customStyle="1" w:styleId="InhaltsverzeichnisberschriftZchn">
    <w:name w:val="Inhaltsverzeichnisüberschrift Zchn"/>
    <w:basedOn w:val="berschrift1Zchn"/>
    <w:link w:val="Inhaltsverzeichnisberschrift"/>
    <w:uiPriority w:val="39"/>
    <w:locked/>
    <w:rsid w:val="00DA1C01"/>
    <w:rPr>
      <w:rFonts w:ascii="Arial" w:hAnsi="Arial" w:cs="Arial"/>
      <w:b/>
      <w:bCs w:val="0"/>
      <w:sz w:val="28"/>
      <w:szCs w:val="28"/>
    </w:rPr>
  </w:style>
  <w:style w:type="character" w:customStyle="1" w:styleId="FormatvorlageGutachtenrasterZchn">
    <w:name w:val="Formatvorlage Gutachtenraster Zchn"/>
    <w:basedOn w:val="Absatz-Standardschriftart"/>
    <w:link w:val="FormatvorlageGutachtenraster"/>
    <w:locked/>
    <w:rsid w:val="000419D9"/>
    <w:rPr>
      <w:rFonts w:ascii="Arial" w:hAnsi="Arial" w:cs="Times New Roman"/>
      <w:sz w:val="24"/>
      <w:szCs w:val="24"/>
      <w:lang w:val="x-none" w:eastAsia="de-DE"/>
    </w:rPr>
  </w:style>
  <w:style w:type="paragraph" w:customStyle="1" w:styleId="Inhaltsverzeichnis">
    <w:name w:val="Inhaltsverzeichnis"/>
    <w:basedOn w:val="Verzeichnis2"/>
    <w:link w:val="InhaltsverzeichnisZchn"/>
    <w:qFormat/>
    <w:rsid w:val="00C214FE"/>
    <w:rPr>
      <w:rFonts w:ascii="Arial" w:hAnsi="Arial"/>
      <w:noProof/>
    </w:rPr>
  </w:style>
  <w:style w:type="character" w:customStyle="1" w:styleId="Verzeichnis2Zchn">
    <w:name w:val="Verzeichnis 2 Zchn"/>
    <w:basedOn w:val="Absatz-Standardschriftart"/>
    <w:link w:val="Verzeichnis2"/>
    <w:uiPriority w:val="39"/>
    <w:locked/>
    <w:rsid w:val="00C177F0"/>
    <w:rPr>
      <w:rFonts w:asciiTheme="minorHAnsi" w:hAnsiTheme="minorHAnsi"/>
      <w:i/>
      <w:iCs/>
    </w:rPr>
  </w:style>
  <w:style w:type="character" w:customStyle="1" w:styleId="InhaltsverzeichnisZchn">
    <w:name w:val="Inhaltsverzeichnis Zchn"/>
    <w:basedOn w:val="Verzeichnis2Zchn"/>
    <w:link w:val="Inhaltsverzeichnis"/>
    <w:locked/>
    <w:rsid w:val="00C214FE"/>
    <w:rPr>
      <w:rFonts w:ascii="Arial" w:eastAsia="Times New Roman" w:hAnsi="Arial" w:cs="Times New Roman"/>
      <w:i/>
      <w:iCs/>
      <w:noProof/>
      <w:sz w:val="22"/>
      <w:szCs w:val="22"/>
      <w:lang w:val="x-none" w:eastAsia="de-DE"/>
    </w:rPr>
  </w:style>
  <w:style w:type="table" w:customStyle="1" w:styleId="Tabellenraster2">
    <w:name w:val="Tabellenraster2"/>
    <w:basedOn w:val="NormaleTabelle"/>
    <w:next w:val="Tabellenraster"/>
    <w:uiPriority w:val="59"/>
    <w:rsid w:val="00B86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rsid w:val="00686117"/>
    <w:rPr>
      <w:rFonts w:cs="Times New Roman"/>
      <w:color w:val="808080"/>
      <w:shd w:val="clear" w:color="auto" w:fill="E6E6E6"/>
    </w:rPr>
  </w:style>
  <w:style w:type="character" w:styleId="BesuchterLink">
    <w:name w:val="FollowedHyperlink"/>
    <w:basedOn w:val="Absatz-Standardschriftart"/>
    <w:uiPriority w:val="99"/>
    <w:semiHidden/>
    <w:unhideWhenUsed/>
    <w:rsid w:val="00152EC0"/>
    <w:rPr>
      <w:rFonts w:cs="Times New Roman"/>
      <w:color w:val="800080"/>
      <w:u w:val="single"/>
    </w:rPr>
  </w:style>
  <w:style w:type="character" w:styleId="Platzhaltertext">
    <w:name w:val="Placeholder Text"/>
    <w:basedOn w:val="Absatz-Standardschriftart"/>
    <w:uiPriority w:val="99"/>
    <w:semiHidden/>
    <w:rsid w:val="004356C8"/>
    <w:rPr>
      <w:color w:val="808080"/>
    </w:rPr>
  </w:style>
  <w:style w:type="character" w:customStyle="1" w:styleId="NichtaufgelsteErwhnung2">
    <w:name w:val="Nicht aufgelöste Erwähnung2"/>
    <w:basedOn w:val="Absatz-Standardschriftart"/>
    <w:uiPriority w:val="99"/>
    <w:semiHidden/>
    <w:unhideWhenUsed/>
    <w:rsid w:val="00B767A3"/>
    <w:rPr>
      <w:color w:val="808080"/>
      <w:shd w:val="clear" w:color="auto" w:fill="E6E6E6"/>
    </w:rPr>
  </w:style>
  <w:style w:type="paragraph" w:styleId="Verzeichnis4">
    <w:name w:val="toc 4"/>
    <w:basedOn w:val="Standard"/>
    <w:next w:val="Standard"/>
    <w:autoRedefine/>
    <w:uiPriority w:val="39"/>
    <w:unhideWhenUsed/>
    <w:rsid w:val="00616657"/>
    <w:pPr>
      <w:spacing w:before="0"/>
      <w:ind w:left="660"/>
      <w:jc w:val="left"/>
    </w:pPr>
    <w:rPr>
      <w:rFonts w:asciiTheme="minorHAnsi" w:hAnsiTheme="minorHAnsi"/>
      <w:sz w:val="20"/>
      <w:szCs w:val="20"/>
    </w:rPr>
  </w:style>
  <w:style w:type="paragraph" w:styleId="Verzeichnis5">
    <w:name w:val="toc 5"/>
    <w:basedOn w:val="Standard"/>
    <w:next w:val="Standard"/>
    <w:autoRedefine/>
    <w:uiPriority w:val="39"/>
    <w:unhideWhenUsed/>
    <w:rsid w:val="00616657"/>
    <w:pPr>
      <w:spacing w:before="0"/>
      <w:ind w:left="880"/>
      <w:jc w:val="left"/>
    </w:pPr>
    <w:rPr>
      <w:rFonts w:asciiTheme="minorHAnsi" w:hAnsiTheme="minorHAnsi"/>
      <w:sz w:val="20"/>
      <w:szCs w:val="20"/>
    </w:rPr>
  </w:style>
  <w:style w:type="paragraph" w:styleId="Verzeichnis6">
    <w:name w:val="toc 6"/>
    <w:basedOn w:val="Standard"/>
    <w:next w:val="Standard"/>
    <w:autoRedefine/>
    <w:uiPriority w:val="39"/>
    <w:unhideWhenUsed/>
    <w:rsid w:val="00616657"/>
    <w:pPr>
      <w:spacing w:before="0"/>
      <w:ind w:left="1100"/>
      <w:jc w:val="left"/>
    </w:pPr>
    <w:rPr>
      <w:rFonts w:asciiTheme="minorHAnsi" w:hAnsiTheme="minorHAnsi"/>
      <w:sz w:val="20"/>
      <w:szCs w:val="20"/>
    </w:rPr>
  </w:style>
  <w:style w:type="paragraph" w:styleId="Verzeichnis7">
    <w:name w:val="toc 7"/>
    <w:basedOn w:val="Standard"/>
    <w:next w:val="Standard"/>
    <w:autoRedefine/>
    <w:uiPriority w:val="39"/>
    <w:unhideWhenUsed/>
    <w:rsid w:val="00616657"/>
    <w:pPr>
      <w:spacing w:before="0"/>
      <w:ind w:left="1320"/>
      <w:jc w:val="left"/>
    </w:pPr>
    <w:rPr>
      <w:rFonts w:asciiTheme="minorHAnsi" w:hAnsiTheme="minorHAnsi"/>
      <w:sz w:val="20"/>
      <w:szCs w:val="20"/>
    </w:rPr>
  </w:style>
  <w:style w:type="paragraph" w:styleId="Verzeichnis8">
    <w:name w:val="toc 8"/>
    <w:basedOn w:val="Standard"/>
    <w:next w:val="Standard"/>
    <w:autoRedefine/>
    <w:uiPriority w:val="39"/>
    <w:unhideWhenUsed/>
    <w:rsid w:val="00616657"/>
    <w:pPr>
      <w:spacing w:before="0"/>
      <w:ind w:left="1540"/>
      <w:jc w:val="left"/>
    </w:pPr>
    <w:rPr>
      <w:rFonts w:asciiTheme="minorHAnsi" w:hAnsiTheme="minorHAnsi"/>
      <w:sz w:val="20"/>
      <w:szCs w:val="20"/>
    </w:rPr>
  </w:style>
  <w:style w:type="paragraph" w:styleId="Verzeichnis9">
    <w:name w:val="toc 9"/>
    <w:basedOn w:val="Standard"/>
    <w:next w:val="Standard"/>
    <w:autoRedefine/>
    <w:uiPriority w:val="39"/>
    <w:unhideWhenUsed/>
    <w:rsid w:val="00616657"/>
    <w:pPr>
      <w:spacing w:before="0"/>
      <w:ind w:left="1760"/>
      <w:jc w:val="left"/>
    </w:pPr>
    <w:rPr>
      <w:rFonts w:asciiTheme="minorHAnsi" w:hAnsiTheme="minorHAnsi"/>
      <w:sz w:val="20"/>
      <w:szCs w:val="20"/>
    </w:rPr>
  </w:style>
  <w:style w:type="paragraph" w:styleId="berarbeitung">
    <w:name w:val="Revision"/>
    <w:hidden/>
    <w:uiPriority w:val="99"/>
    <w:semiHidden/>
    <w:rsid w:val="00616657"/>
    <w:rPr>
      <w:rFonts w:ascii="Arial" w:hAnsi="Arial"/>
      <w:sz w:val="22"/>
      <w:szCs w:val="24"/>
    </w:rPr>
  </w:style>
  <w:style w:type="paragraph" w:customStyle="1" w:styleId="Default">
    <w:name w:val="Default"/>
    <w:rsid w:val="008F3039"/>
    <w:pPr>
      <w:autoSpaceDE w:val="0"/>
      <w:autoSpaceDN w:val="0"/>
      <w:adjustRightInd w:val="0"/>
    </w:pPr>
    <w:rPr>
      <w:rFonts w:ascii="Arial" w:hAnsi="Arial" w:cs="Arial"/>
      <w:color w:val="000000"/>
      <w:sz w:val="24"/>
      <w:szCs w:val="24"/>
    </w:rPr>
  </w:style>
  <w:style w:type="character" w:customStyle="1" w:styleId="main-content-wrap">
    <w:name w:val="main-content-wrap"/>
    <w:basedOn w:val="Absatz-Standardschriftart"/>
    <w:rsid w:val="00834252"/>
  </w:style>
  <w:style w:type="paragraph" w:customStyle="1" w:styleId="11Aufzhlung">
    <w:name w:val="11_Aufzählung"/>
    <w:basedOn w:val="Standard"/>
    <w:link w:val="11AufzhlungZchn"/>
    <w:qFormat/>
    <w:rsid w:val="008C5719"/>
    <w:pPr>
      <w:keepNext/>
      <w:widowControl w:val="0"/>
      <w:numPr>
        <w:numId w:val="45"/>
      </w:numPr>
      <w:spacing w:before="0" w:line="264" w:lineRule="auto"/>
      <w:jc w:val="left"/>
    </w:pPr>
    <w:rPr>
      <w:rFonts w:ascii="Arial Narrow" w:hAnsi="Arial Narrow" w:cs="Arial"/>
      <w:szCs w:val="20"/>
    </w:rPr>
  </w:style>
  <w:style w:type="character" w:customStyle="1" w:styleId="11AufzhlungZchn">
    <w:name w:val="11_Aufzählung Zchn"/>
    <w:basedOn w:val="Absatz-Standardschriftart"/>
    <w:link w:val="11Aufzhlung"/>
    <w:rsid w:val="008C5719"/>
    <w:rPr>
      <w:rFonts w:ascii="Arial Narrow" w:hAnsi="Arial Narrow" w:cs="Arial"/>
      <w:sz w:val="22"/>
    </w:rPr>
  </w:style>
  <w:style w:type="paragraph" w:customStyle="1" w:styleId="AufzhlungAuflagen">
    <w:name w:val="Aufzählung_Auflagen"/>
    <w:basedOn w:val="Standard"/>
    <w:qFormat/>
    <w:rsid w:val="00367B70"/>
    <w:pPr>
      <w:numPr>
        <w:numId w:val="49"/>
      </w:numPr>
      <w:spacing w:after="120" w:line="312" w:lineRule="auto"/>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6784">
      <w:bodyDiv w:val="1"/>
      <w:marLeft w:val="0"/>
      <w:marRight w:val="0"/>
      <w:marTop w:val="0"/>
      <w:marBottom w:val="0"/>
      <w:divBdr>
        <w:top w:val="none" w:sz="0" w:space="0" w:color="auto"/>
        <w:left w:val="none" w:sz="0" w:space="0" w:color="auto"/>
        <w:bottom w:val="none" w:sz="0" w:space="0" w:color="auto"/>
        <w:right w:val="none" w:sz="0" w:space="0" w:color="auto"/>
      </w:divBdr>
    </w:div>
    <w:div w:id="74329372">
      <w:bodyDiv w:val="1"/>
      <w:marLeft w:val="0"/>
      <w:marRight w:val="0"/>
      <w:marTop w:val="0"/>
      <w:marBottom w:val="0"/>
      <w:divBdr>
        <w:top w:val="none" w:sz="0" w:space="0" w:color="auto"/>
        <w:left w:val="none" w:sz="0" w:space="0" w:color="auto"/>
        <w:bottom w:val="none" w:sz="0" w:space="0" w:color="auto"/>
        <w:right w:val="none" w:sz="0" w:space="0" w:color="auto"/>
      </w:divBdr>
    </w:div>
    <w:div w:id="107896281">
      <w:bodyDiv w:val="1"/>
      <w:marLeft w:val="0"/>
      <w:marRight w:val="0"/>
      <w:marTop w:val="0"/>
      <w:marBottom w:val="0"/>
      <w:divBdr>
        <w:top w:val="none" w:sz="0" w:space="0" w:color="auto"/>
        <w:left w:val="none" w:sz="0" w:space="0" w:color="auto"/>
        <w:bottom w:val="none" w:sz="0" w:space="0" w:color="auto"/>
        <w:right w:val="none" w:sz="0" w:space="0" w:color="auto"/>
      </w:divBdr>
    </w:div>
    <w:div w:id="192042810">
      <w:bodyDiv w:val="1"/>
      <w:marLeft w:val="0"/>
      <w:marRight w:val="0"/>
      <w:marTop w:val="0"/>
      <w:marBottom w:val="0"/>
      <w:divBdr>
        <w:top w:val="none" w:sz="0" w:space="0" w:color="auto"/>
        <w:left w:val="none" w:sz="0" w:space="0" w:color="auto"/>
        <w:bottom w:val="none" w:sz="0" w:space="0" w:color="auto"/>
        <w:right w:val="none" w:sz="0" w:space="0" w:color="auto"/>
      </w:divBdr>
    </w:div>
    <w:div w:id="216552453">
      <w:bodyDiv w:val="1"/>
      <w:marLeft w:val="0"/>
      <w:marRight w:val="0"/>
      <w:marTop w:val="0"/>
      <w:marBottom w:val="0"/>
      <w:divBdr>
        <w:top w:val="none" w:sz="0" w:space="0" w:color="auto"/>
        <w:left w:val="none" w:sz="0" w:space="0" w:color="auto"/>
        <w:bottom w:val="none" w:sz="0" w:space="0" w:color="auto"/>
        <w:right w:val="none" w:sz="0" w:space="0" w:color="auto"/>
      </w:divBdr>
    </w:div>
    <w:div w:id="216938847">
      <w:marLeft w:val="0"/>
      <w:marRight w:val="0"/>
      <w:marTop w:val="0"/>
      <w:marBottom w:val="0"/>
      <w:divBdr>
        <w:top w:val="none" w:sz="0" w:space="0" w:color="auto"/>
        <w:left w:val="none" w:sz="0" w:space="0" w:color="auto"/>
        <w:bottom w:val="none" w:sz="0" w:space="0" w:color="auto"/>
        <w:right w:val="none" w:sz="0" w:space="0" w:color="auto"/>
      </w:divBdr>
    </w:div>
    <w:div w:id="301279756">
      <w:bodyDiv w:val="1"/>
      <w:marLeft w:val="0"/>
      <w:marRight w:val="0"/>
      <w:marTop w:val="0"/>
      <w:marBottom w:val="0"/>
      <w:divBdr>
        <w:top w:val="none" w:sz="0" w:space="0" w:color="auto"/>
        <w:left w:val="none" w:sz="0" w:space="0" w:color="auto"/>
        <w:bottom w:val="none" w:sz="0" w:space="0" w:color="auto"/>
        <w:right w:val="none" w:sz="0" w:space="0" w:color="auto"/>
      </w:divBdr>
    </w:div>
    <w:div w:id="327490433">
      <w:bodyDiv w:val="1"/>
      <w:marLeft w:val="0"/>
      <w:marRight w:val="0"/>
      <w:marTop w:val="0"/>
      <w:marBottom w:val="0"/>
      <w:divBdr>
        <w:top w:val="none" w:sz="0" w:space="0" w:color="auto"/>
        <w:left w:val="none" w:sz="0" w:space="0" w:color="auto"/>
        <w:bottom w:val="none" w:sz="0" w:space="0" w:color="auto"/>
        <w:right w:val="none" w:sz="0" w:space="0" w:color="auto"/>
      </w:divBdr>
    </w:div>
    <w:div w:id="329455444">
      <w:bodyDiv w:val="1"/>
      <w:marLeft w:val="0"/>
      <w:marRight w:val="0"/>
      <w:marTop w:val="0"/>
      <w:marBottom w:val="0"/>
      <w:divBdr>
        <w:top w:val="none" w:sz="0" w:space="0" w:color="auto"/>
        <w:left w:val="none" w:sz="0" w:space="0" w:color="auto"/>
        <w:bottom w:val="none" w:sz="0" w:space="0" w:color="auto"/>
        <w:right w:val="none" w:sz="0" w:space="0" w:color="auto"/>
      </w:divBdr>
    </w:div>
    <w:div w:id="358362372">
      <w:bodyDiv w:val="1"/>
      <w:marLeft w:val="0"/>
      <w:marRight w:val="0"/>
      <w:marTop w:val="0"/>
      <w:marBottom w:val="0"/>
      <w:divBdr>
        <w:top w:val="none" w:sz="0" w:space="0" w:color="auto"/>
        <w:left w:val="none" w:sz="0" w:space="0" w:color="auto"/>
        <w:bottom w:val="none" w:sz="0" w:space="0" w:color="auto"/>
        <w:right w:val="none" w:sz="0" w:space="0" w:color="auto"/>
      </w:divBdr>
    </w:div>
    <w:div w:id="359280834">
      <w:bodyDiv w:val="1"/>
      <w:marLeft w:val="0"/>
      <w:marRight w:val="0"/>
      <w:marTop w:val="0"/>
      <w:marBottom w:val="0"/>
      <w:divBdr>
        <w:top w:val="none" w:sz="0" w:space="0" w:color="auto"/>
        <w:left w:val="none" w:sz="0" w:space="0" w:color="auto"/>
        <w:bottom w:val="none" w:sz="0" w:space="0" w:color="auto"/>
        <w:right w:val="none" w:sz="0" w:space="0" w:color="auto"/>
      </w:divBdr>
    </w:div>
    <w:div w:id="387533788">
      <w:bodyDiv w:val="1"/>
      <w:marLeft w:val="0"/>
      <w:marRight w:val="0"/>
      <w:marTop w:val="0"/>
      <w:marBottom w:val="0"/>
      <w:divBdr>
        <w:top w:val="none" w:sz="0" w:space="0" w:color="auto"/>
        <w:left w:val="none" w:sz="0" w:space="0" w:color="auto"/>
        <w:bottom w:val="none" w:sz="0" w:space="0" w:color="auto"/>
        <w:right w:val="none" w:sz="0" w:space="0" w:color="auto"/>
      </w:divBdr>
    </w:div>
    <w:div w:id="479814149">
      <w:bodyDiv w:val="1"/>
      <w:marLeft w:val="0"/>
      <w:marRight w:val="0"/>
      <w:marTop w:val="0"/>
      <w:marBottom w:val="0"/>
      <w:divBdr>
        <w:top w:val="none" w:sz="0" w:space="0" w:color="auto"/>
        <w:left w:val="none" w:sz="0" w:space="0" w:color="auto"/>
        <w:bottom w:val="none" w:sz="0" w:space="0" w:color="auto"/>
        <w:right w:val="none" w:sz="0" w:space="0" w:color="auto"/>
      </w:divBdr>
    </w:div>
    <w:div w:id="558177511">
      <w:bodyDiv w:val="1"/>
      <w:marLeft w:val="0"/>
      <w:marRight w:val="0"/>
      <w:marTop w:val="0"/>
      <w:marBottom w:val="0"/>
      <w:divBdr>
        <w:top w:val="none" w:sz="0" w:space="0" w:color="auto"/>
        <w:left w:val="none" w:sz="0" w:space="0" w:color="auto"/>
        <w:bottom w:val="none" w:sz="0" w:space="0" w:color="auto"/>
        <w:right w:val="none" w:sz="0" w:space="0" w:color="auto"/>
      </w:divBdr>
    </w:div>
    <w:div w:id="599603811">
      <w:bodyDiv w:val="1"/>
      <w:marLeft w:val="0"/>
      <w:marRight w:val="0"/>
      <w:marTop w:val="0"/>
      <w:marBottom w:val="0"/>
      <w:divBdr>
        <w:top w:val="none" w:sz="0" w:space="0" w:color="auto"/>
        <w:left w:val="none" w:sz="0" w:space="0" w:color="auto"/>
        <w:bottom w:val="none" w:sz="0" w:space="0" w:color="auto"/>
        <w:right w:val="none" w:sz="0" w:space="0" w:color="auto"/>
      </w:divBdr>
    </w:div>
    <w:div w:id="622733512">
      <w:bodyDiv w:val="1"/>
      <w:marLeft w:val="0"/>
      <w:marRight w:val="0"/>
      <w:marTop w:val="0"/>
      <w:marBottom w:val="0"/>
      <w:divBdr>
        <w:top w:val="none" w:sz="0" w:space="0" w:color="auto"/>
        <w:left w:val="none" w:sz="0" w:space="0" w:color="auto"/>
        <w:bottom w:val="none" w:sz="0" w:space="0" w:color="auto"/>
        <w:right w:val="none" w:sz="0" w:space="0" w:color="auto"/>
      </w:divBdr>
    </w:div>
    <w:div w:id="731080882">
      <w:bodyDiv w:val="1"/>
      <w:marLeft w:val="0"/>
      <w:marRight w:val="0"/>
      <w:marTop w:val="0"/>
      <w:marBottom w:val="0"/>
      <w:divBdr>
        <w:top w:val="none" w:sz="0" w:space="0" w:color="auto"/>
        <w:left w:val="none" w:sz="0" w:space="0" w:color="auto"/>
        <w:bottom w:val="none" w:sz="0" w:space="0" w:color="auto"/>
        <w:right w:val="none" w:sz="0" w:space="0" w:color="auto"/>
      </w:divBdr>
    </w:div>
    <w:div w:id="797531726">
      <w:bodyDiv w:val="1"/>
      <w:marLeft w:val="0"/>
      <w:marRight w:val="0"/>
      <w:marTop w:val="0"/>
      <w:marBottom w:val="0"/>
      <w:divBdr>
        <w:top w:val="none" w:sz="0" w:space="0" w:color="auto"/>
        <w:left w:val="none" w:sz="0" w:space="0" w:color="auto"/>
        <w:bottom w:val="none" w:sz="0" w:space="0" w:color="auto"/>
        <w:right w:val="none" w:sz="0" w:space="0" w:color="auto"/>
      </w:divBdr>
    </w:div>
    <w:div w:id="855970104">
      <w:bodyDiv w:val="1"/>
      <w:marLeft w:val="0"/>
      <w:marRight w:val="0"/>
      <w:marTop w:val="0"/>
      <w:marBottom w:val="0"/>
      <w:divBdr>
        <w:top w:val="none" w:sz="0" w:space="0" w:color="auto"/>
        <w:left w:val="none" w:sz="0" w:space="0" w:color="auto"/>
        <w:bottom w:val="none" w:sz="0" w:space="0" w:color="auto"/>
        <w:right w:val="none" w:sz="0" w:space="0" w:color="auto"/>
      </w:divBdr>
    </w:div>
    <w:div w:id="903569393">
      <w:bodyDiv w:val="1"/>
      <w:marLeft w:val="0"/>
      <w:marRight w:val="0"/>
      <w:marTop w:val="0"/>
      <w:marBottom w:val="0"/>
      <w:divBdr>
        <w:top w:val="none" w:sz="0" w:space="0" w:color="auto"/>
        <w:left w:val="none" w:sz="0" w:space="0" w:color="auto"/>
        <w:bottom w:val="none" w:sz="0" w:space="0" w:color="auto"/>
        <w:right w:val="none" w:sz="0" w:space="0" w:color="auto"/>
      </w:divBdr>
    </w:div>
    <w:div w:id="944196959">
      <w:bodyDiv w:val="1"/>
      <w:marLeft w:val="0"/>
      <w:marRight w:val="0"/>
      <w:marTop w:val="0"/>
      <w:marBottom w:val="0"/>
      <w:divBdr>
        <w:top w:val="none" w:sz="0" w:space="0" w:color="auto"/>
        <w:left w:val="none" w:sz="0" w:space="0" w:color="auto"/>
        <w:bottom w:val="none" w:sz="0" w:space="0" w:color="auto"/>
        <w:right w:val="none" w:sz="0" w:space="0" w:color="auto"/>
      </w:divBdr>
    </w:div>
    <w:div w:id="1000935965">
      <w:bodyDiv w:val="1"/>
      <w:marLeft w:val="0"/>
      <w:marRight w:val="0"/>
      <w:marTop w:val="0"/>
      <w:marBottom w:val="0"/>
      <w:divBdr>
        <w:top w:val="none" w:sz="0" w:space="0" w:color="auto"/>
        <w:left w:val="none" w:sz="0" w:space="0" w:color="auto"/>
        <w:bottom w:val="none" w:sz="0" w:space="0" w:color="auto"/>
        <w:right w:val="none" w:sz="0" w:space="0" w:color="auto"/>
      </w:divBdr>
    </w:div>
    <w:div w:id="1115561480">
      <w:bodyDiv w:val="1"/>
      <w:marLeft w:val="0"/>
      <w:marRight w:val="0"/>
      <w:marTop w:val="0"/>
      <w:marBottom w:val="0"/>
      <w:divBdr>
        <w:top w:val="none" w:sz="0" w:space="0" w:color="auto"/>
        <w:left w:val="none" w:sz="0" w:space="0" w:color="auto"/>
        <w:bottom w:val="none" w:sz="0" w:space="0" w:color="auto"/>
        <w:right w:val="none" w:sz="0" w:space="0" w:color="auto"/>
      </w:divBdr>
    </w:div>
    <w:div w:id="1144272810">
      <w:bodyDiv w:val="1"/>
      <w:marLeft w:val="0"/>
      <w:marRight w:val="0"/>
      <w:marTop w:val="0"/>
      <w:marBottom w:val="0"/>
      <w:divBdr>
        <w:top w:val="none" w:sz="0" w:space="0" w:color="auto"/>
        <w:left w:val="none" w:sz="0" w:space="0" w:color="auto"/>
        <w:bottom w:val="none" w:sz="0" w:space="0" w:color="auto"/>
        <w:right w:val="none" w:sz="0" w:space="0" w:color="auto"/>
      </w:divBdr>
    </w:div>
    <w:div w:id="1414204777">
      <w:bodyDiv w:val="1"/>
      <w:marLeft w:val="0"/>
      <w:marRight w:val="0"/>
      <w:marTop w:val="0"/>
      <w:marBottom w:val="0"/>
      <w:divBdr>
        <w:top w:val="none" w:sz="0" w:space="0" w:color="auto"/>
        <w:left w:val="none" w:sz="0" w:space="0" w:color="auto"/>
        <w:bottom w:val="none" w:sz="0" w:space="0" w:color="auto"/>
        <w:right w:val="none" w:sz="0" w:space="0" w:color="auto"/>
      </w:divBdr>
    </w:div>
    <w:div w:id="1522550470">
      <w:bodyDiv w:val="1"/>
      <w:marLeft w:val="0"/>
      <w:marRight w:val="0"/>
      <w:marTop w:val="0"/>
      <w:marBottom w:val="0"/>
      <w:divBdr>
        <w:top w:val="none" w:sz="0" w:space="0" w:color="auto"/>
        <w:left w:val="none" w:sz="0" w:space="0" w:color="auto"/>
        <w:bottom w:val="none" w:sz="0" w:space="0" w:color="auto"/>
        <w:right w:val="none" w:sz="0" w:space="0" w:color="auto"/>
      </w:divBdr>
    </w:div>
    <w:div w:id="1573734395">
      <w:bodyDiv w:val="1"/>
      <w:marLeft w:val="0"/>
      <w:marRight w:val="0"/>
      <w:marTop w:val="0"/>
      <w:marBottom w:val="0"/>
      <w:divBdr>
        <w:top w:val="none" w:sz="0" w:space="0" w:color="auto"/>
        <w:left w:val="none" w:sz="0" w:space="0" w:color="auto"/>
        <w:bottom w:val="none" w:sz="0" w:space="0" w:color="auto"/>
        <w:right w:val="none" w:sz="0" w:space="0" w:color="auto"/>
      </w:divBdr>
    </w:div>
    <w:div w:id="1703281194">
      <w:bodyDiv w:val="1"/>
      <w:marLeft w:val="0"/>
      <w:marRight w:val="0"/>
      <w:marTop w:val="0"/>
      <w:marBottom w:val="0"/>
      <w:divBdr>
        <w:top w:val="none" w:sz="0" w:space="0" w:color="auto"/>
        <w:left w:val="none" w:sz="0" w:space="0" w:color="auto"/>
        <w:bottom w:val="none" w:sz="0" w:space="0" w:color="auto"/>
        <w:right w:val="none" w:sz="0" w:space="0" w:color="auto"/>
      </w:divBdr>
    </w:div>
    <w:div w:id="1809738909">
      <w:bodyDiv w:val="1"/>
      <w:marLeft w:val="0"/>
      <w:marRight w:val="0"/>
      <w:marTop w:val="0"/>
      <w:marBottom w:val="0"/>
      <w:divBdr>
        <w:top w:val="none" w:sz="0" w:space="0" w:color="auto"/>
        <w:left w:val="none" w:sz="0" w:space="0" w:color="auto"/>
        <w:bottom w:val="none" w:sz="0" w:space="0" w:color="auto"/>
        <w:right w:val="none" w:sz="0" w:space="0" w:color="auto"/>
      </w:divBdr>
    </w:div>
    <w:div w:id="1833990061">
      <w:bodyDiv w:val="1"/>
      <w:marLeft w:val="0"/>
      <w:marRight w:val="0"/>
      <w:marTop w:val="0"/>
      <w:marBottom w:val="0"/>
      <w:divBdr>
        <w:top w:val="none" w:sz="0" w:space="0" w:color="auto"/>
        <w:left w:val="none" w:sz="0" w:space="0" w:color="auto"/>
        <w:bottom w:val="none" w:sz="0" w:space="0" w:color="auto"/>
        <w:right w:val="none" w:sz="0" w:space="0" w:color="auto"/>
      </w:divBdr>
    </w:div>
    <w:div w:id="1963340078">
      <w:bodyDiv w:val="1"/>
      <w:marLeft w:val="0"/>
      <w:marRight w:val="0"/>
      <w:marTop w:val="0"/>
      <w:marBottom w:val="0"/>
      <w:divBdr>
        <w:top w:val="none" w:sz="0" w:space="0" w:color="auto"/>
        <w:left w:val="none" w:sz="0" w:space="0" w:color="auto"/>
        <w:bottom w:val="none" w:sz="0" w:space="0" w:color="auto"/>
        <w:right w:val="none" w:sz="0" w:space="0" w:color="auto"/>
      </w:divBdr>
    </w:div>
    <w:div w:id="21322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76B416-E9DB-4A91-99E6-E9701887F8B5}">
  <we:reference id="wa104381727" version="1.0.0.9" store="de-DE" storeType="OMEX"/>
  <we:alternateReferences>
    <we:reference id="WA104381727" version="1.0.0.9"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59E57-2A40-4CDE-A87D-F57695450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8206</Words>
  <Characters>63048</Characters>
  <Application>Microsoft Office Word</Application>
  <DocSecurity>0</DocSecurity>
  <Lines>525</Lines>
  <Paragraphs>142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71112</CharactersWithSpaces>
  <SharedDoc>false</SharedDoc>
  <HLinks>
    <vt:vector size="312" baseType="variant">
      <vt:variant>
        <vt:i4>7798868</vt:i4>
      </vt:variant>
      <vt:variant>
        <vt:i4>273</vt:i4>
      </vt:variant>
      <vt:variant>
        <vt:i4>0</vt:i4>
      </vt:variant>
      <vt:variant>
        <vt:i4>5</vt:i4>
      </vt:variant>
      <vt:variant>
        <vt:lpwstr/>
      </vt:variant>
      <vt:variant>
        <vt:lpwstr>_Leistungspunktesystem</vt:lpwstr>
      </vt:variant>
      <vt:variant>
        <vt:i4>1245240</vt:i4>
      </vt:variant>
      <vt:variant>
        <vt:i4>270</vt:i4>
      </vt:variant>
      <vt:variant>
        <vt:i4>0</vt:i4>
      </vt:variant>
      <vt:variant>
        <vt:i4>5</vt:i4>
      </vt:variant>
      <vt:variant>
        <vt:lpwstr/>
      </vt:variant>
      <vt:variant>
        <vt:lpwstr>_Modularisierung</vt:lpwstr>
      </vt:variant>
      <vt:variant>
        <vt:i4>9306154</vt:i4>
      </vt:variant>
      <vt:variant>
        <vt:i4>267</vt:i4>
      </vt:variant>
      <vt:variant>
        <vt:i4>0</vt:i4>
      </vt:variant>
      <vt:variant>
        <vt:i4>5</vt:i4>
      </vt:variant>
      <vt:variant>
        <vt:lpwstr/>
      </vt:variant>
      <vt:variant>
        <vt:lpwstr>_Abschlüsse_und_Abschlussbezeichnung</vt:lpwstr>
      </vt:variant>
      <vt:variant>
        <vt:i4>6881352</vt:i4>
      </vt:variant>
      <vt:variant>
        <vt:i4>264</vt:i4>
      </vt:variant>
      <vt:variant>
        <vt:i4>0</vt:i4>
      </vt:variant>
      <vt:variant>
        <vt:i4>5</vt:i4>
      </vt:variant>
      <vt:variant>
        <vt:lpwstr/>
      </vt:variant>
      <vt:variant>
        <vt:lpwstr>_Zugangsvoraussetzungen</vt:lpwstr>
      </vt:variant>
      <vt:variant>
        <vt:i4>7405636</vt:i4>
      </vt:variant>
      <vt:variant>
        <vt:i4>261</vt:i4>
      </vt:variant>
      <vt:variant>
        <vt:i4>0</vt:i4>
      </vt:variant>
      <vt:variant>
        <vt:i4>5</vt:i4>
      </vt:variant>
      <vt:variant>
        <vt:lpwstr/>
      </vt:variant>
      <vt:variant>
        <vt:lpwstr>_Studiengangsprofil</vt:lpwstr>
      </vt:variant>
      <vt:variant>
        <vt:i4>393269</vt:i4>
      </vt:variant>
      <vt:variant>
        <vt:i4>258</vt:i4>
      </vt:variant>
      <vt:variant>
        <vt:i4>0</vt:i4>
      </vt:variant>
      <vt:variant>
        <vt:i4>5</vt:i4>
      </vt:variant>
      <vt:variant>
        <vt:lpwstr/>
      </vt:variant>
      <vt:variant>
        <vt:lpwstr>_Studienstruktur</vt:lpwstr>
      </vt:variant>
      <vt:variant>
        <vt:i4>1245240</vt:i4>
      </vt:variant>
      <vt:variant>
        <vt:i4>255</vt:i4>
      </vt:variant>
      <vt:variant>
        <vt:i4>0</vt:i4>
      </vt:variant>
      <vt:variant>
        <vt:i4>5</vt:i4>
      </vt:variant>
      <vt:variant>
        <vt:lpwstr/>
      </vt:variant>
      <vt:variant>
        <vt:lpwstr>_Modularisierung</vt:lpwstr>
      </vt:variant>
      <vt:variant>
        <vt:i4>9306154</vt:i4>
      </vt:variant>
      <vt:variant>
        <vt:i4>252</vt:i4>
      </vt:variant>
      <vt:variant>
        <vt:i4>0</vt:i4>
      </vt:variant>
      <vt:variant>
        <vt:i4>5</vt:i4>
      </vt:variant>
      <vt:variant>
        <vt:lpwstr/>
      </vt:variant>
      <vt:variant>
        <vt:lpwstr>_Abschlüsse_und_Abschlussbezeichnung</vt:lpwstr>
      </vt:variant>
      <vt:variant>
        <vt:i4>524336</vt:i4>
      </vt:variant>
      <vt:variant>
        <vt:i4>249</vt:i4>
      </vt:variant>
      <vt:variant>
        <vt:i4>0</vt:i4>
      </vt:variant>
      <vt:variant>
        <vt:i4>5</vt:i4>
      </vt:variant>
      <vt:variant>
        <vt:lpwstr/>
      </vt:variant>
      <vt:variant>
        <vt:lpwstr>_Lehrpersonal</vt:lpwstr>
      </vt:variant>
      <vt:variant>
        <vt:i4>8257631</vt:i4>
      </vt:variant>
      <vt:variant>
        <vt:i4>246</vt:i4>
      </vt:variant>
      <vt:variant>
        <vt:i4>0</vt:i4>
      </vt:variant>
      <vt:variant>
        <vt:i4>5</vt:i4>
      </vt:variant>
      <vt:variant>
        <vt:lpwstr/>
      </vt:variant>
      <vt:variant>
        <vt:lpwstr>_Studierbarkeit</vt:lpwstr>
      </vt:variant>
      <vt:variant>
        <vt:i4>327736</vt:i4>
      </vt:variant>
      <vt:variant>
        <vt:i4>243</vt:i4>
      </vt:variant>
      <vt:variant>
        <vt:i4>0</vt:i4>
      </vt:variant>
      <vt:variant>
        <vt:i4>5</vt:i4>
      </vt:variant>
      <vt:variant>
        <vt:lpwstr/>
      </vt:variant>
      <vt:variant>
        <vt:lpwstr>_Abschlussniveau</vt:lpwstr>
      </vt:variant>
      <vt:variant>
        <vt:i4>786470</vt:i4>
      </vt:variant>
      <vt:variant>
        <vt:i4>240</vt:i4>
      </vt:variant>
      <vt:variant>
        <vt:i4>0</vt:i4>
      </vt:variant>
      <vt:variant>
        <vt:i4>5</vt:i4>
      </vt:variant>
      <vt:variant>
        <vt:lpwstr/>
      </vt:variant>
      <vt:variant>
        <vt:lpwstr>_Qualifikationsziele</vt:lpwstr>
      </vt:variant>
      <vt:variant>
        <vt:i4>65569</vt:i4>
      </vt:variant>
      <vt:variant>
        <vt:i4>237</vt:i4>
      </vt:variant>
      <vt:variant>
        <vt:i4>0</vt:i4>
      </vt:variant>
      <vt:variant>
        <vt:i4>5</vt:i4>
      </vt:variant>
      <vt:variant>
        <vt:lpwstr/>
      </vt:variant>
      <vt:variant>
        <vt:lpwstr>_Verfahrensablauf</vt:lpwstr>
      </vt:variant>
      <vt:variant>
        <vt:i4>1310782</vt:i4>
      </vt:variant>
      <vt:variant>
        <vt:i4>230</vt:i4>
      </vt:variant>
      <vt:variant>
        <vt:i4>0</vt:i4>
      </vt:variant>
      <vt:variant>
        <vt:i4>5</vt:i4>
      </vt:variant>
      <vt:variant>
        <vt:lpwstr/>
      </vt:variant>
      <vt:variant>
        <vt:lpwstr>_Toc504395656</vt:lpwstr>
      </vt:variant>
      <vt:variant>
        <vt:i4>1310782</vt:i4>
      </vt:variant>
      <vt:variant>
        <vt:i4>224</vt:i4>
      </vt:variant>
      <vt:variant>
        <vt:i4>0</vt:i4>
      </vt:variant>
      <vt:variant>
        <vt:i4>5</vt:i4>
      </vt:variant>
      <vt:variant>
        <vt:lpwstr/>
      </vt:variant>
      <vt:variant>
        <vt:lpwstr>_Toc504395655</vt:lpwstr>
      </vt:variant>
      <vt:variant>
        <vt:i4>1310782</vt:i4>
      </vt:variant>
      <vt:variant>
        <vt:i4>218</vt:i4>
      </vt:variant>
      <vt:variant>
        <vt:i4>0</vt:i4>
      </vt:variant>
      <vt:variant>
        <vt:i4>5</vt:i4>
      </vt:variant>
      <vt:variant>
        <vt:lpwstr/>
      </vt:variant>
      <vt:variant>
        <vt:lpwstr>_Toc504395654</vt:lpwstr>
      </vt:variant>
      <vt:variant>
        <vt:i4>1310782</vt:i4>
      </vt:variant>
      <vt:variant>
        <vt:i4>212</vt:i4>
      </vt:variant>
      <vt:variant>
        <vt:i4>0</vt:i4>
      </vt:variant>
      <vt:variant>
        <vt:i4>5</vt:i4>
      </vt:variant>
      <vt:variant>
        <vt:lpwstr/>
      </vt:variant>
      <vt:variant>
        <vt:lpwstr>_Toc504395653</vt:lpwstr>
      </vt:variant>
      <vt:variant>
        <vt:i4>1310782</vt:i4>
      </vt:variant>
      <vt:variant>
        <vt:i4>206</vt:i4>
      </vt:variant>
      <vt:variant>
        <vt:i4>0</vt:i4>
      </vt:variant>
      <vt:variant>
        <vt:i4>5</vt:i4>
      </vt:variant>
      <vt:variant>
        <vt:lpwstr/>
      </vt:variant>
      <vt:variant>
        <vt:lpwstr>_Toc504395652</vt:lpwstr>
      </vt:variant>
      <vt:variant>
        <vt:i4>1310782</vt:i4>
      </vt:variant>
      <vt:variant>
        <vt:i4>200</vt:i4>
      </vt:variant>
      <vt:variant>
        <vt:i4>0</vt:i4>
      </vt:variant>
      <vt:variant>
        <vt:i4>5</vt:i4>
      </vt:variant>
      <vt:variant>
        <vt:lpwstr/>
      </vt:variant>
      <vt:variant>
        <vt:lpwstr>_Toc504395651</vt:lpwstr>
      </vt:variant>
      <vt:variant>
        <vt:i4>1310782</vt:i4>
      </vt:variant>
      <vt:variant>
        <vt:i4>194</vt:i4>
      </vt:variant>
      <vt:variant>
        <vt:i4>0</vt:i4>
      </vt:variant>
      <vt:variant>
        <vt:i4>5</vt:i4>
      </vt:variant>
      <vt:variant>
        <vt:lpwstr/>
      </vt:variant>
      <vt:variant>
        <vt:lpwstr>_Toc504395650</vt:lpwstr>
      </vt:variant>
      <vt:variant>
        <vt:i4>1376318</vt:i4>
      </vt:variant>
      <vt:variant>
        <vt:i4>188</vt:i4>
      </vt:variant>
      <vt:variant>
        <vt:i4>0</vt:i4>
      </vt:variant>
      <vt:variant>
        <vt:i4>5</vt:i4>
      </vt:variant>
      <vt:variant>
        <vt:lpwstr/>
      </vt:variant>
      <vt:variant>
        <vt:lpwstr>_Toc504395649</vt:lpwstr>
      </vt:variant>
      <vt:variant>
        <vt:i4>1376318</vt:i4>
      </vt:variant>
      <vt:variant>
        <vt:i4>182</vt:i4>
      </vt:variant>
      <vt:variant>
        <vt:i4>0</vt:i4>
      </vt:variant>
      <vt:variant>
        <vt:i4>5</vt:i4>
      </vt:variant>
      <vt:variant>
        <vt:lpwstr/>
      </vt:variant>
      <vt:variant>
        <vt:lpwstr>_Toc504395648</vt:lpwstr>
      </vt:variant>
      <vt:variant>
        <vt:i4>1376318</vt:i4>
      </vt:variant>
      <vt:variant>
        <vt:i4>176</vt:i4>
      </vt:variant>
      <vt:variant>
        <vt:i4>0</vt:i4>
      </vt:variant>
      <vt:variant>
        <vt:i4>5</vt:i4>
      </vt:variant>
      <vt:variant>
        <vt:lpwstr/>
      </vt:variant>
      <vt:variant>
        <vt:lpwstr>_Toc504395647</vt:lpwstr>
      </vt:variant>
      <vt:variant>
        <vt:i4>1376318</vt:i4>
      </vt:variant>
      <vt:variant>
        <vt:i4>170</vt:i4>
      </vt:variant>
      <vt:variant>
        <vt:i4>0</vt:i4>
      </vt:variant>
      <vt:variant>
        <vt:i4>5</vt:i4>
      </vt:variant>
      <vt:variant>
        <vt:lpwstr/>
      </vt:variant>
      <vt:variant>
        <vt:lpwstr>_Toc504395646</vt:lpwstr>
      </vt:variant>
      <vt:variant>
        <vt:i4>1376318</vt:i4>
      </vt:variant>
      <vt:variant>
        <vt:i4>164</vt:i4>
      </vt:variant>
      <vt:variant>
        <vt:i4>0</vt:i4>
      </vt:variant>
      <vt:variant>
        <vt:i4>5</vt:i4>
      </vt:variant>
      <vt:variant>
        <vt:lpwstr/>
      </vt:variant>
      <vt:variant>
        <vt:lpwstr>_Toc504395645</vt:lpwstr>
      </vt:variant>
      <vt:variant>
        <vt:i4>1376318</vt:i4>
      </vt:variant>
      <vt:variant>
        <vt:i4>158</vt:i4>
      </vt:variant>
      <vt:variant>
        <vt:i4>0</vt:i4>
      </vt:variant>
      <vt:variant>
        <vt:i4>5</vt:i4>
      </vt:variant>
      <vt:variant>
        <vt:lpwstr/>
      </vt:variant>
      <vt:variant>
        <vt:lpwstr>_Toc504395644</vt:lpwstr>
      </vt:variant>
      <vt:variant>
        <vt:i4>1376318</vt:i4>
      </vt:variant>
      <vt:variant>
        <vt:i4>152</vt:i4>
      </vt:variant>
      <vt:variant>
        <vt:i4>0</vt:i4>
      </vt:variant>
      <vt:variant>
        <vt:i4>5</vt:i4>
      </vt:variant>
      <vt:variant>
        <vt:lpwstr/>
      </vt:variant>
      <vt:variant>
        <vt:lpwstr>_Toc504395643</vt:lpwstr>
      </vt:variant>
      <vt:variant>
        <vt:i4>1376318</vt:i4>
      </vt:variant>
      <vt:variant>
        <vt:i4>146</vt:i4>
      </vt:variant>
      <vt:variant>
        <vt:i4>0</vt:i4>
      </vt:variant>
      <vt:variant>
        <vt:i4>5</vt:i4>
      </vt:variant>
      <vt:variant>
        <vt:lpwstr/>
      </vt:variant>
      <vt:variant>
        <vt:lpwstr>_Toc504395642</vt:lpwstr>
      </vt:variant>
      <vt:variant>
        <vt:i4>1376318</vt:i4>
      </vt:variant>
      <vt:variant>
        <vt:i4>140</vt:i4>
      </vt:variant>
      <vt:variant>
        <vt:i4>0</vt:i4>
      </vt:variant>
      <vt:variant>
        <vt:i4>5</vt:i4>
      </vt:variant>
      <vt:variant>
        <vt:lpwstr/>
      </vt:variant>
      <vt:variant>
        <vt:lpwstr>_Toc504395641</vt:lpwstr>
      </vt:variant>
      <vt:variant>
        <vt:i4>1376318</vt:i4>
      </vt:variant>
      <vt:variant>
        <vt:i4>134</vt:i4>
      </vt:variant>
      <vt:variant>
        <vt:i4>0</vt:i4>
      </vt:variant>
      <vt:variant>
        <vt:i4>5</vt:i4>
      </vt:variant>
      <vt:variant>
        <vt:lpwstr/>
      </vt:variant>
      <vt:variant>
        <vt:lpwstr>_Toc504395640</vt:lpwstr>
      </vt:variant>
      <vt:variant>
        <vt:i4>1179710</vt:i4>
      </vt:variant>
      <vt:variant>
        <vt:i4>128</vt:i4>
      </vt:variant>
      <vt:variant>
        <vt:i4>0</vt:i4>
      </vt:variant>
      <vt:variant>
        <vt:i4>5</vt:i4>
      </vt:variant>
      <vt:variant>
        <vt:lpwstr/>
      </vt:variant>
      <vt:variant>
        <vt:lpwstr>_Toc504395639</vt:lpwstr>
      </vt:variant>
      <vt:variant>
        <vt:i4>1179710</vt:i4>
      </vt:variant>
      <vt:variant>
        <vt:i4>122</vt:i4>
      </vt:variant>
      <vt:variant>
        <vt:i4>0</vt:i4>
      </vt:variant>
      <vt:variant>
        <vt:i4>5</vt:i4>
      </vt:variant>
      <vt:variant>
        <vt:lpwstr/>
      </vt:variant>
      <vt:variant>
        <vt:lpwstr>_Toc504395638</vt:lpwstr>
      </vt:variant>
      <vt:variant>
        <vt:i4>1179710</vt:i4>
      </vt:variant>
      <vt:variant>
        <vt:i4>116</vt:i4>
      </vt:variant>
      <vt:variant>
        <vt:i4>0</vt:i4>
      </vt:variant>
      <vt:variant>
        <vt:i4>5</vt:i4>
      </vt:variant>
      <vt:variant>
        <vt:lpwstr/>
      </vt:variant>
      <vt:variant>
        <vt:lpwstr>_Toc504395637</vt:lpwstr>
      </vt:variant>
      <vt:variant>
        <vt:i4>1179710</vt:i4>
      </vt:variant>
      <vt:variant>
        <vt:i4>110</vt:i4>
      </vt:variant>
      <vt:variant>
        <vt:i4>0</vt:i4>
      </vt:variant>
      <vt:variant>
        <vt:i4>5</vt:i4>
      </vt:variant>
      <vt:variant>
        <vt:lpwstr/>
      </vt:variant>
      <vt:variant>
        <vt:lpwstr>_Toc504395636</vt:lpwstr>
      </vt:variant>
      <vt:variant>
        <vt:i4>1179710</vt:i4>
      </vt:variant>
      <vt:variant>
        <vt:i4>104</vt:i4>
      </vt:variant>
      <vt:variant>
        <vt:i4>0</vt:i4>
      </vt:variant>
      <vt:variant>
        <vt:i4>5</vt:i4>
      </vt:variant>
      <vt:variant>
        <vt:lpwstr/>
      </vt:variant>
      <vt:variant>
        <vt:lpwstr>_Toc504395635</vt:lpwstr>
      </vt:variant>
      <vt:variant>
        <vt:i4>1179710</vt:i4>
      </vt:variant>
      <vt:variant>
        <vt:i4>98</vt:i4>
      </vt:variant>
      <vt:variant>
        <vt:i4>0</vt:i4>
      </vt:variant>
      <vt:variant>
        <vt:i4>5</vt:i4>
      </vt:variant>
      <vt:variant>
        <vt:lpwstr/>
      </vt:variant>
      <vt:variant>
        <vt:lpwstr>_Toc504395634</vt:lpwstr>
      </vt:variant>
      <vt:variant>
        <vt:i4>1179710</vt:i4>
      </vt:variant>
      <vt:variant>
        <vt:i4>92</vt:i4>
      </vt:variant>
      <vt:variant>
        <vt:i4>0</vt:i4>
      </vt:variant>
      <vt:variant>
        <vt:i4>5</vt:i4>
      </vt:variant>
      <vt:variant>
        <vt:lpwstr/>
      </vt:variant>
      <vt:variant>
        <vt:lpwstr>_Toc504395633</vt:lpwstr>
      </vt:variant>
      <vt:variant>
        <vt:i4>1179710</vt:i4>
      </vt:variant>
      <vt:variant>
        <vt:i4>86</vt:i4>
      </vt:variant>
      <vt:variant>
        <vt:i4>0</vt:i4>
      </vt:variant>
      <vt:variant>
        <vt:i4>5</vt:i4>
      </vt:variant>
      <vt:variant>
        <vt:lpwstr/>
      </vt:variant>
      <vt:variant>
        <vt:lpwstr>_Toc504395632</vt:lpwstr>
      </vt:variant>
      <vt:variant>
        <vt:i4>1179710</vt:i4>
      </vt:variant>
      <vt:variant>
        <vt:i4>80</vt:i4>
      </vt:variant>
      <vt:variant>
        <vt:i4>0</vt:i4>
      </vt:variant>
      <vt:variant>
        <vt:i4>5</vt:i4>
      </vt:variant>
      <vt:variant>
        <vt:lpwstr/>
      </vt:variant>
      <vt:variant>
        <vt:lpwstr>_Toc504395631</vt:lpwstr>
      </vt:variant>
      <vt:variant>
        <vt:i4>1179710</vt:i4>
      </vt:variant>
      <vt:variant>
        <vt:i4>74</vt:i4>
      </vt:variant>
      <vt:variant>
        <vt:i4>0</vt:i4>
      </vt:variant>
      <vt:variant>
        <vt:i4>5</vt:i4>
      </vt:variant>
      <vt:variant>
        <vt:lpwstr/>
      </vt:variant>
      <vt:variant>
        <vt:lpwstr>_Toc504395630</vt:lpwstr>
      </vt:variant>
      <vt:variant>
        <vt:i4>1245246</vt:i4>
      </vt:variant>
      <vt:variant>
        <vt:i4>68</vt:i4>
      </vt:variant>
      <vt:variant>
        <vt:i4>0</vt:i4>
      </vt:variant>
      <vt:variant>
        <vt:i4>5</vt:i4>
      </vt:variant>
      <vt:variant>
        <vt:lpwstr/>
      </vt:variant>
      <vt:variant>
        <vt:lpwstr>_Toc504395629</vt:lpwstr>
      </vt:variant>
      <vt:variant>
        <vt:i4>1245246</vt:i4>
      </vt:variant>
      <vt:variant>
        <vt:i4>62</vt:i4>
      </vt:variant>
      <vt:variant>
        <vt:i4>0</vt:i4>
      </vt:variant>
      <vt:variant>
        <vt:i4>5</vt:i4>
      </vt:variant>
      <vt:variant>
        <vt:lpwstr/>
      </vt:variant>
      <vt:variant>
        <vt:lpwstr>_Toc504395628</vt:lpwstr>
      </vt:variant>
      <vt:variant>
        <vt:i4>1245246</vt:i4>
      </vt:variant>
      <vt:variant>
        <vt:i4>56</vt:i4>
      </vt:variant>
      <vt:variant>
        <vt:i4>0</vt:i4>
      </vt:variant>
      <vt:variant>
        <vt:i4>5</vt:i4>
      </vt:variant>
      <vt:variant>
        <vt:lpwstr/>
      </vt:variant>
      <vt:variant>
        <vt:lpwstr>_Toc504395627</vt:lpwstr>
      </vt:variant>
      <vt:variant>
        <vt:i4>1245246</vt:i4>
      </vt:variant>
      <vt:variant>
        <vt:i4>50</vt:i4>
      </vt:variant>
      <vt:variant>
        <vt:i4>0</vt:i4>
      </vt:variant>
      <vt:variant>
        <vt:i4>5</vt:i4>
      </vt:variant>
      <vt:variant>
        <vt:lpwstr/>
      </vt:variant>
      <vt:variant>
        <vt:lpwstr>_Toc504395626</vt:lpwstr>
      </vt:variant>
      <vt:variant>
        <vt:i4>1245246</vt:i4>
      </vt:variant>
      <vt:variant>
        <vt:i4>44</vt:i4>
      </vt:variant>
      <vt:variant>
        <vt:i4>0</vt:i4>
      </vt:variant>
      <vt:variant>
        <vt:i4>5</vt:i4>
      </vt:variant>
      <vt:variant>
        <vt:lpwstr/>
      </vt:variant>
      <vt:variant>
        <vt:lpwstr>_Toc504395625</vt:lpwstr>
      </vt:variant>
      <vt:variant>
        <vt:i4>1245246</vt:i4>
      </vt:variant>
      <vt:variant>
        <vt:i4>38</vt:i4>
      </vt:variant>
      <vt:variant>
        <vt:i4>0</vt:i4>
      </vt:variant>
      <vt:variant>
        <vt:i4>5</vt:i4>
      </vt:variant>
      <vt:variant>
        <vt:lpwstr/>
      </vt:variant>
      <vt:variant>
        <vt:lpwstr>_Toc504395624</vt:lpwstr>
      </vt:variant>
      <vt:variant>
        <vt:i4>1245246</vt:i4>
      </vt:variant>
      <vt:variant>
        <vt:i4>32</vt:i4>
      </vt:variant>
      <vt:variant>
        <vt:i4>0</vt:i4>
      </vt:variant>
      <vt:variant>
        <vt:i4>5</vt:i4>
      </vt:variant>
      <vt:variant>
        <vt:lpwstr/>
      </vt:variant>
      <vt:variant>
        <vt:lpwstr>_Toc504395623</vt:lpwstr>
      </vt:variant>
      <vt:variant>
        <vt:i4>1245246</vt:i4>
      </vt:variant>
      <vt:variant>
        <vt:i4>26</vt:i4>
      </vt:variant>
      <vt:variant>
        <vt:i4>0</vt:i4>
      </vt:variant>
      <vt:variant>
        <vt:i4>5</vt:i4>
      </vt:variant>
      <vt:variant>
        <vt:lpwstr/>
      </vt:variant>
      <vt:variant>
        <vt:lpwstr>_Toc504395622</vt:lpwstr>
      </vt:variant>
      <vt:variant>
        <vt:i4>1245246</vt:i4>
      </vt:variant>
      <vt:variant>
        <vt:i4>20</vt:i4>
      </vt:variant>
      <vt:variant>
        <vt:i4>0</vt:i4>
      </vt:variant>
      <vt:variant>
        <vt:i4>5</vt:i4>
      </vt:variant>
      <vt:variant>
        <vt:lpwstr/>
      </vt:variant>
      <vt:variant>
        <vt:lpwstr>_Toc504395621</vt:lpwstr>
      </vt:variant>
      <vt:variant>
        <vt:i4>1245246</vt:i4>
      </vt:variant>
      <vt:variant>
        <vt:i4>14</vt:i4>
      </vt:variant>
      <vt:variant>
        <vt:i4>0</vt:i4>
      </vt:variant>
      <vt:variant>
        <vt:i4>5</vt:i4>
      </vt:variant>
      <vt:variant>
        <vt:lpwstr/>
      </vt:variant>
      <vt:variant>
        <vt:lpwstr>_Toc504395620</vt:lpwstr>
      </vt:variant>
      <vt:variant>
        <vt:i4>1048638</vt:i4>
      </vt:variant>
      <vt:variant>
        <vt:i4>8</vt:i4>
      </vt:variant>
      <vt:variant>
        <vt:i4>0</vt:i4>
      </vt:variant>
      <vt:variant>
        <vt:i4>5</vt:i4>
      </vt:variant>
      <vt:variant>
        <vt:lpwstr/>
      </vt:variant>
      <vt:variant>
        <vt:lpwstr>_Toc504395619</vt:lpwstr>
      </vt:variant>
      <vt:variant>
        <vt:i4>1048638</vt:i4>
      </vt:variant>
      <vt:variant>
        <vt:i4>2</vt:i4>
      </vt:variant>
      <vt:variant>
        <vt:i4>0</vt:i4>
      </vt:variant>
      <vt:variant>
        <vt:i4>5</vt:i4>
      </vt:variant>
      <vt:variant>
        <vt:lpwstr/>
      </vt:variant>
      <vt:variant>
        <vt:lpwstr>_Toc504395618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 Bartz</dc:creator>
  <cp:keywords>Vorlagen</cp:keywords>
  <cp:lastModifiedBy>Birgit Kainz</cp:lastModifiedBy>
  <cp:revision>45</cp:revision>
  <cp:lastPrinted>2020-03-18T12:08:00Z</cp:lastPrinted>
  <dcterms:created xsi:type="dcterms:W3CDTF">2023-10-24T06:25:00Z</dcterms:created>
  <dcterms:modified xsi:type="dcterms:W3CDTF">2023-11-02T08:01:00Z</dcterms:modified>
</cp:coreProperties>
</file>